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sz w:val="24"/>
        </w:rPr>
      </w:pPr>
      <w:r>
        <w:rPr>
          <w:sz w:val="24"/>
        </w:rPr>
        <w:drawing>
          <wp:inline distT="0" distB="0" distL="0" distR="0">
            <wp:extent cx="2857500" cy="685800"/>
            <wp:effectExtent l="0" t="0" r="7620" b="0"/>
            <wp:docPr id="4" name="图片 2" descr="校徽镂空-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校徽镂空-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857500" cy="685800"/>
                    </a:xfrm>
                    <a:prstGeom prst="rect">
                      <a:avLst/>
                    </a:prstGeom>
                    <a:noFill/>
                    <a:ln>
                      <a:noFill/>
                    </a:ln>
                  </pic:spPr>
                </pic:pic>
              </a:graphicData>
            </a:graphic>
          </wp:inline>
        </w:drawing>
      </w:r>
    </w:p>
    <w:p>
      <w:pPr>
        <w:spacing w:line="360" w:lineRule="auto"/>
        <w:rPr>
          <w:rFonts w:ascii="华文新魏" w:hAnsi="仿宋" w:eastAsia="华文新魏"/>
          <w:b/>
          <w:sz w:val="84"/>
          <w:szCs w:val="84"/>
        </w:rPr>
      </w:pPr>
    </w:p>
    <w:p>
      <w:pPr>
        <w:spacing w:line="360" w:lineRule="auto"/>
        <w:jc w:val="center"/>
        <w:rPr>
          <w:rFonts w:ascii="华文新魏" w:hAnsi="仿宋" w:eastAsia="华文新魏"/>
          <w:b/>
          <w:sz w:val="144"/>
          <w:szCs w:val="144"/>
        </w:rPr>
      </w:pPr>
      <w:r>
        <w:rPr>
          <w:rFonts w:hint="eastAsia" w:ascii="华文新魏" w:hAnsi="仿宋" w:eastAsia="华文新魏"/>
          <w:b/>
          <w:sz w:val="144"/>
          <w:szCs w:val="144"/>
        </w:rPr>
        <w:t>课程指南</w:t>
      </w:r>
    </w:p>
    <w:p>
      <w:pPr>
        <w:spacing w:line="360" w:lineRule="auto"/>
        <w:jc w:val="center"/>
        <w:rPr>
          <w:rFonts w:ascii="华文新魏" w:hAnsi="仿宋" w:eastAsia="华文新魏"/>
          <w:b/>
          <w:sz w:val="72"/>
          <w:szCs w:val="72"/>
        </w:rPr>
      </w:pPr>
      <w:r>
        <w:rPr>
          <w:rFonts w:hint="eastAsia" w:ascii="华文新魏" w:hAnsi="仿宋" w:eastAsia="华文新魏"/>
          <w:b/>
          <w:sz w:val="72"/>
          <w:szCs w:val="72"/>
        </w:rPr>
        <w:t>《医患之间-电影中的生命伦理与病痛叙事》</w:t>
      </w:r>
    </w:p>
    <w:p>
      <w:pPr>
        <w:spacing w:line="360" w:lineRule="auto"/>
        <w:jc w:val="center"/>
        <w:rPr>
          <w:sz w:val="30"/>
        </w:rPr>
      </w:pPr>
      <w:r>
        <w:rPr>
          <w:rFonts w:hint="eastAsia" w:ascii="华文新魏" w:hAnsi="仿宋" w:eastAsia="华文新魏"/>
          <w:b/>
          <w:sz w:val="30"/>
          <w:szCs w:val="30"/>
        </w:rPr>
        <w:t>供全校各专业学生使用</w:t>
      </w: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jc w:val="center"/>
        <w:rPr>
          <w:rFonts w:ascii="楷体" w:hAnsi="楷体" w:eastAsia="楷体"/>
          <w:b/>
          <w:sz w:val="44"/>
          <w:szCs w:val="44"/>
        </w:rPr>
      </w:pPr>
      <w:r>
        <w:rPr>
          <w:rFonts w:hint="eastAsia" w:ascii="楷体" w:hAnsi="楷体" w:eastAsia="楷体"/>
          <w:b/>
          <w:sz w:val="44"/>
          <w:szCs w:val="44"/>
        </w:rPr>
        <w:t>开课单位：医学人文</w:t>
      </w:r>
      <w:r>
        <w:rPr>
          <w:rFonts w:ascii="楷体" w:hAnsi="楷体" w:eastAsia="楷体"/>
          <w:b/>
          <w:sz w:val="44"/>
          <w:szCs w:val="44"/>
        </w:rPr>
        <w:t>学院</w:t>
      </w:r>
    </w:p>
    <w:p>
      <w:pPr>
        <w:spacing w:line="360" w:lineRule="auto"/>
        <w:jc w:val="center"/>
        <w:rPr>
          <w:rFonts w:ascii="楷体" w:hAnsi="楷体" w:eastAsia="楷体"/>
          <w:b/>
          <w:sz w:val="44"/>
          <w:szCs w:val="44"/>
        </w:rPr>
      </w:pPr>
      <w:r>
        <w:rPr>
          <w:rFonts w:hint="eastAsia" w:ascii="楷体" w:hAnsi="楷体" w:eastAsia="楷体"/>
          <w:b/>
          <w:sz w:val="44"/>
          <w:szCs w:val="44"/>
        </w:rPr>
        <w:t>二零二四年</w:t>
      </w:r>
    </w:p>
    <w:p>
      <w:pPr>
        <w:spacing w:line="360" w:lineRule="auto"/>
        <w:jc w:val="center"/>
        <w:rPr>
          <w:rFonts w:ascii="宋体" w:hAnsi="宋体"/>
          <w:b/>
          <w:sz w:val="28"/>
          <w:u w:val="single"/>
        </w:rPr>
        <w:sectPr>
          <w:footerReference r:id="rId5" w:type="first"/>
          <w:footerReference r:id="rId3" w:type="default"/>
          <w:footerReference r:id="rId4" w:type="even"/>
          <w:pgSz w:w="11906" w:h="16838"/>
          <w:pgMar w:top="1440" w:right="1797" w:bottom="1440" w:left="1797" w:header="851" w:footer="992" w:gutter="0"/>
          <w:cols w:space="425" w:num="1"/>
          <w:titlePg/>
          <w:docGrid w:type="lines" w:linePitch="312" w:charSpace="0"/>
        </w:sectPr>
      </w:pPr>
    </w:p>
    <w:p>
      <w:pPr>
        <w:spacing w:line="360" w:lineRule="auto"/>
        <w:jc w:val="center"/>
        <w:rPr>
          <w:b/>
          <w:sz w:val="28"/>
        </w:rPr>
      </w:pPr>
      <w:r>
        <w:rPr>
          <w:rFonts w:hint="eastAsia" w:ascii="宋体" w:hAnsi="宋体"/>
          <w:b/>
          <w:sz w:val="28"/>
          <w:u w:val="single"/>
        </w:rPr>
        <w:t>__</w:t>
      </w:r>
      <w:r>
        <w:rPr>
          <w:rFonts w:hint="eastAsia"/>
          <w:b/>
          <w:sz w:val="28"/>
          <w:u w:val="single"/>
        </w:rPr>
        <w:t>医患之间：电影中的生命伦理与病痛叙事</w:t>
      </w:r>
      <w:r>
        <w:rPr>
          <w:rFonts w:hint="eastAsia" w:ascii="宋体" w:hAnsi="宋体"/>
          <w:b/>
          <w:sz w:val="28"/>
          <w:u w:val="single"/>
        </w:rPr>
        <w:t>__</w:t>
      </w:r>
      <w:r>
        <w:rPr>
          <w:rFonts w:hint="eastAsia"/>
          <w:b/>
          <w:sz w:val="28"/>
        </w:rPr>
        <w:t xml:space="preserve">课 程 指 南 </w:t>
      </w:r>
    </w:p>
    <w:p>
      <w:pPr>
        <w:spacing w:line="360" w:lineRule="auto"/>
        <w:jc w:val="center"/>
        <w:rPr>
          <w:b/>
          <w:sz w:val="28"/>
        </w:rPr>
      </w:pPr>
    </w:p>
    <w:p>
      <w:pPr>
        <w:spacing w:line="360" w:lineRule="auto"/>
        <w:rPr>
          <w:bCs/>
          <w:szCs w:val="21"/>
        </w:rPr>
      </w:pPr>
      <w:r>
        <w:rPr>
          <w:rFonts w:hint="eastAsia"/>
          <w:b/>
          <w:szCs w:val="21"/>
        </w:rPr>
        <w:t xml:space="preserve">    一、课程信息 课程编号：</w:t>
      </w:r>
      <w:r>
        <w:rPr>
          <w:rFonts w:hint="eastAsia"/>
          <w:bCs/>
          <w:szCs w:val="21"/>
        </w:rPr>
        <w:t xml:space="preserve">X1909003001  </w:t>
      </w:r>
    </w:p>
    <w:p>
      <w:pPr>
        <w:spacing w:line="360" w:lineRule="auto"/>
        <w:ind w:firstLine="1687" w:firstLineChars="800"/>
        <w:rPr>
          <w:bCs/>
          <w:szCs w:val="21"/>
        </w:rPr>
      </w:pPr>
      <w:r>
        <w:rPr>
          <w:rFonts w:hint="eastAsia"/>
          <w:b/>
          <w:szCs w:val="21"/>
        </w:rPr>
        <w:t>中文：</w:t>
      </w:r>
      <w:r>
        <w:rPr>
          <w:rFonts w:hint="eastAsia"/>
          <w:b w:val="0"/>
          <w:bCs/>
          <w:szCs w:val="21"/>
        </w:rPr>
        <w:t>医患之间：</w:t>
      </w:r>
      <w:r>
        <w:rPr>
          <w:rFonts w:hint="eastAsia"/>
          <w:bCs/>
          <w:szCs w:val="21"/>
        </w:rPr>
        <w:t>电影中的生命伦理与病痛叙事</w:t>
      </w:r>
    </w:p>
    <w:p>
      <w:pPr>
        <w:spacing w:line="360" w:lineRule="auto"/>
        <w:ind w:firstLine="1687" w:firstLineChars="800"/>
        <w:rPr>
          <w:b/>
          <w:szCs w:val="21"/>
        </w:rPr>
      </w:pPr>
      <w:r>
        <w:rPr>
          <w:rFonts w:hint="eastAsia"/>
          <w:b/>
          <w:szCs w:val="21"/>
        </w:rPr>
        <w:t>英文：</w:t>
      </w:r>
      <w:r>
        <w:rPr>
          <w:rFonts w:hint="eastAsia"/>
          <w:bCs/>
          <w:szCs w:val="21"/>
        </w:rPr>
        <w:t>BetweenDoctorsandPatients：BioethicsandIllness</w:t>
      </w:r>
      <w:r>
        <w:rPr>
          <w:bCs/>
          <w:szCs w:val="21"/>
        </w:rPr>
        <w:t xml:space="preserve"> Narratives in Movies</w:t>
      </w:r>
    </w:p>
    <w:p>
      <w:pPr>
        <w:spacing w:line="360" w:lineRule="auto"/>
        <w:rPr>
          <w:bCs/>
          <w:szCs w:val="21"/>
        </w:rPr>
      </w:pPr>
      <w:r>
        <w:rPr>
          <w:rFonts w:hint="eastAsia"/>
          <w:b/>
          <w:szCs w:val="21"/>
        </w:rPr>
        <w:t xml:space="preserve">    二、开课学院（系）、</w:t>
      </w:r>
      <w:r>
        <w:rPr>
          <w:rFonts w:hint="eastAsia"/>
          <w:b/>
        </w:rPr>
        <w:t>系（教研室）</w:t>
      </w:r>
      <w:r>
        <w:rPr>
          <w:rFonts w:hint="eastAsia"/>
          <w:b/>
          <w:szCs w:val="21"/>
        </w:rPr>
        <w:t>：</w:t>
      </w:r>
      <w:r>
        <w:rPr>
          <w:rFonts w:hint="eastAsia"/>
          <w:bCs/>
          <w:szCs w:val="21"/>
        </w:rPr>
        <w:t>医学人文学院医学伦理与法学系医学伦理学教研室</w:t>
      </w:r>
    </w:p>
    <w:p>
      <w:pPr>
        <w:spacing w:line="360" w:lineRule="auto"/>
        <w:ind w:firstLine="420"/>
        <w:rPr>
          <w:b/>
          <w:szCs w:val="21"/>
        </w:rPr>
      </w:pPr>
      <w:r>
        <w:rPr>
          <w:rFonts w:hint="eastAsia"/>
          <w:b/>
          <w:szCs w:val="21"/>
        </w:rPr>
        <w:t>三、学时学分：学分：</w:t>
      </w:r>
      <w:r>
        <w:rPr>
          <w:b/>
          <w:szCs w:val="21"/>
        </w:rPr>
        <w:t>2</w:t>
      </w:r>
      <w:r>
        <w:rPr>
          <w:rFonts w:hint="eastAsia"/>
          <w:b/>
          <w:szCs w:val="21"/>
        </w:rPr>
        <w:t>； 总学时：3</w:t>
      </w:r>
      <w:r>
        <w:rPr>
          <w:b/>
          <w:szCs w:val="21"/>
        </w:rPr>
        <w:t>2</w:t>
      </w:r>
      <w:r>
        <w:rPr>
          <w:rFonts w:hint="eastAsia"/>
          <w:b/>
          <w:szCs w:val="21"/>
        </w:rPr>
        <w:t>； 理论学时：3</w:t>
      </w:r>
      <w:r>
        <w:rPr>
          <w:b/>
          <w:szCs w:val="21"/>
        </w:rPr>
        <w:t>2</w:t>
      </w:r>
      <w:r>
        <w:rPr>
          <w:rFonts w:hint="eastAsia"/>
          <w:b/>
          <w:szCs w:val="21"/>
        </w:rPr>
        <w:t>；实验或实践学时：0；</w:t>
      </w:r>
      <w:r>
        <w:rPr>
          <w:b/>
          <w:szCs w:val="21"/>
        </w:rPr>
        <w:t>自主学习学时：0</w:t>
      </w:r>
    </w:p>
    <w:p>
      <w:pPr>
        <w:spacing w:line="360" w:lineRule="auto"/>
        <w:ind w:firstLine="422" w:firstLineChars="200"/>
        <w:rPr>
          <w:bCs/>
          <w:szCs w:val="21"/>
        </w:rPr>
      </w:pPr>
      <w:r>
        <w:rPr>
          <w:rFonts w:hint="eastAsia"/>
          <w:b/>
          <w:szCs w:val="21"/>
        </w:rPr>
        <w:t>四、授课对象： 全校各年级各专业</w:t>
      </w:r>
    </w:p>
    <w:p>
      <w:pPr>
        <w:spacing w:line="360" w:lineRule="auto"/>
        <w:ind w:firstLine="422" w:firstLineChars="200"/>
        <w:rPr>
          <w:b/>
          <w:szCs w:val="21"/>
        </w:rPr>
      </w:pPr>
      <w:r>
        <w:rPr>
          <w:rFonts w:hint="eastAsia"/>
          <w:b/>
          <w:szCs w:val="21"/>
        </w:rPr>
        <w:t>五、课程基本内容简介</w:t>
      </w:r>
    </w:p>
    <w:p>
      <w:pPr>
        <w:spacing w:line="360" w:lineRule="auto"/>
        <w:ind w:firstLine="420" w:firstLineChars="200"/>
        <w:rPr>
          <w:bCs/>
          <w:szCs w:val="21"/>
        </w:rPr>
      </w:pPr>
      <w:r>
        <w:rPr>
          <w:rFonts w:hint="eastAsia"/>
          <w:bCs/>
          <w:szCs w:val="21"/>
        </w:rPr>
        <w:t>（一）在内容层面，本课程将立足于生命伦理学（Bioethics）和叙事医学（Narrative Medicine）两个学科的理论整合。侧重于现代医学在医患关系、病人体验、家庭关系、衰老、临终、医学研究、职业人格等议题上的焦点问题，利用生命伦理学的主要原则（尊重自主性、不伤害、行善、社会公正）作为课程的进路和框架。</w:t>
      </w:r>
    </w:p>
    <w:p>
      <w:pPr>
        <w:spacing w:line="360" w:lineRule="auto"/>
        <w:ind w:firstLine="420" w:firstLineChars="200"/>
        <w:rPr>
          <w:bCs/>
          <w:szCs w:val="21"/>
        </w:rPr>
      </w:pPr>
      <w:r>
        <w:rPr>
          <w:rFonts w:hint="eastAsia"/>
          <w:bCs/>
          <w:szCs w:val="21"/>
        </w:rPr>
        <w:t>（二）在方法层面，电影医学教育（Cinemeducation）是一种将电影理论和资源结合进入医学教育的系统方法，在国外已经形成了相对成熟的教学和评价方法。充分利用经典电影中丰富的医学和病痛元素，按照教学需求，进行加工和重新整合，提供给医学教育使用，能够使学生身临其境,还能拓展其知识面,有效培养学习兴趣。</w:t>
      </w:r>
    </w:p>
    <w:p>
      <w:pPr>
        <w:spacing w:line="360" w:lineRule="auto"/>
        <w:ind w:firstLine="435"/>
        <w:rPr>
          <w:b/>
        </w:rPr>
      </w:pPr>
      <w:r>
        <w:rPr>
          <w:rFonts w:hint="eastAsia"/>
          <w:b/>
          <w:szCs w:val="21"/>
        </w:rPr>
        <w:t>六、</w:t>
      </w:r>
      <w:r>
        <w:rPr>
          <w:rFonts w:hint="eastAsia"/>
          <w:b/>
        </w:rPr>
        <w:t>教学目标</w:t>
      </w:r>
    </w:p>
    <w:p>
      <w:pPr>
        <w:spacing w:line="360" w:lineRule="auto"/>
        <w:ind w:firstLine="422" w:firstLineChars="200"/>
        <w:rPr>
          <w:b/>
          <w:szCs w:val="21"/>
        </w:rPr>
      </w:pPr>
      <w:r>
        <w:rPr>
          <w:rFonts w:hint="eastAsia"/>
          <w:b/>
          <w:szCs w:val="21"/>
        </w:rPr>
        <w:t>1.知识学习目标</w:t>
      </w:r>
    </w:p>
    <w:p>
      <w:pPr>
        <w:spacing w:line="360" w:lineRule="auto"/>
        <w:ind w:firstLine="420" w:firstLineChars="200"/>
        <w:rPr>
          <w:bCs/>
          <w:szCs w:val="21"/>
        </w:rPr>
      </w:pPr>
      <w:r>
        <w:rPr>
          <w:rFonts w:hint="eastAsia"/>
          <w:bCs/>
          <w:szCs w:val="21"/>
        </w:rPr>
        <w:t>（1）整理经典电影中的医学元素呈现给医学生，以此帮助他们通过电影叙事的方法使学生理解病痛的复杂性和多元性有更深入的理解，从而深入病人的内心世界，建构起对他人病痛的同理心和临床叙事能力。</w:t>
      </w:r>
    </w:p>
    <w:p>
      <w:pPr>
        <w:spacing w:line="360" w:lineRule="auto"/>
        <w:ind w:firstLine="420" w:firstLineChars="200"/>
        <w:rPr>
          <w:bCs/>
          <w:szCs w:val="21"/>
        </w:rPr>
      </w:pPr>
      <w:r>
        <w:rPr>
          <w:rFonts w:hint="eastAsia"/>
          <w:bCs/>
          <w:szCs w:val="21"/>
        </w:rPr>
        <w:t>（2）通过整合生命伦理学和叙事医学的理论，以电影为载体帮助学生对现代医学的道德困境有更深刻地了解和反思。</w:t>
      </w:r>
    </w:p>
    <w:p>
      <w:pPr>
        <w:spacing w:line="360" w:lineRule="auto"/>
        <w:ind w:firstLine="420"/>
        <w:rPr>
          <w:b/>
          <w:szCs w:val="21"/>
        </w:rPr>
      </w:pPr>
      <w:r>
        <w:rPr>
          <w:rFonts w:hint="eastAsia"/>
          <w:b/>
          <w:szCs w:val="21"/>
        </w:rPr>
        <w:t>2.技能学习目标</w:t>
      </w:r>
    </w:p>
    <w:p>
      <w:pPr>
        <w:spacing w:line="360" w:lineRule="auto"/>
        <w:ind w:firstLine="420" w:firstLineChars="200"/>
        <w:rPr>
          <w:bCs/>
          <w:szCs w:val="21"/>
        </w:rPr>
      </w:pPr>
      <w:r>
        <w:rPr>
          <w:rFonts w:hint="eastAsia"/>
          <w:bCs/>
          <w:szCs w:val="21"/>
        </w:rPr>
        <w:t>通过电影分析之后的互动讨论和反思性写作，帮助医学生对职业精神养成进行自我反思和规划。</w:t>
      </w:r>
    </w:p>
    <w:p>
      <w:pPr>
        <w:spacing w:line="360" w:lineRule="auto"/>
        <w:rPr>
          <w:szCs w:val="21"/>
        </w:rPr>
      </w:pPr>
      <w:r>
        <w:rPr>
          <w:rFonts w:hint="eastAsia"/>
          <w:b/>
          <w:szCs w:val="21"/>
        </w:rPr>
        <w:t xml:space="preserve"> </w:t>
      </w:r>
      <w:r>
        <w:rPr>
          <w:rFonts w:hint="eastAsia"/>
          <w:b/>
          <w:szCs w:val="21"/>
          <w:lang w:val="en-US" w:eastAsia="zh-CN"/>
        </w:rPr>
        <w:t xml:space="preserve">  </w:t>
      </w:r>
      <w:r>
        <w:rPr>
          <w:rFonts w:hint="eastAsia"/>
          <w:b/>
          <w:szCs w:val="21"/>
        </w:rPr>
        <w:t xml:space="preserve"> 3.思政目标</w:t>
      </w:r>
    </w:p>
    <w:tbl>
      <w:tblPr>
        <w:tblStyle w:val="9"/>
        <w:tblpPr w:leftFromText="180" w:rightFromText="180" w:vertAnchor="text" w:tblpXSpec="center" w:tblpY="1"/>
        <w:tblOverlap w:val="never"/>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701"/>
        <w:gridCol w:w="2268"/>
        <w:gridCol w:w="170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spacing w:line="288" w:lineRule="auto"/>
              <w:rPr>
                <w:b/>
              </w:rPr>
            </w:pPr>
            <w:r>
              <w:rPr>
                <w:rFonts w:hint="eastAsia"/>
                <w:b/>
              </w:rPr>
              <w:t>序号</w:t>
            </w:r>
          </w:p>
        </w:tc>
        <w:tc>
          <w:tcPr>
            <w:tcW w:w="1701" w:type="dxa"/>
          </w:tcPr>
          <w:p>
            <w:pPr>
              <w:spacing w:line="288" w:lineRule="auto"/>
              <w:jc w:val="center"/>
              <w:rPr>
                <w:b/>
              </w:rPr>
            </w:pPr>
            <w:r>
              <w:rPr>
                <w:rFonts w:hint="eastAsia"/>
                <w:b/>
              </w:rPr>
              <w:t>融入章节</w:t>
            </w:r>
          </w:p>
        </w:tc>
        <w:tc>
          <w:tcPr>
            <w:tcW w:w="2268" w:type="dxa"/>
          </w:tcPr>
          <w:p>
            <w:pPr>
              <w:spacing w:line="288" w:lineRule="auto"/>
              <w:jc w:val="center"/>
              <w:rPr>
                <w:b/>
              </w:rPr>
            </w:pPr>
            <w:r>
              <w:rPr>
                <w:rFonts w:hint="eastAsia"/>
                <w:b/>
              </w:rPr>
              <w:t>融入专业知识点</w:t>
            </w:r>
          </w:p>
        </w:tc>
        <w:tc>
          <w:tcPr>
            <w:tcW w:w="1701" w:type="dxa"/>
          </w:tcPr>
          <w:p>
            <w:pPr>
              <w:spacing w:line="288" w:lineRule="auto"/>
              <w:jc w:val="center"/>
              <w:rPr>
                <w:b/>
              </w:rPr>
            </w:pPr>
            <w:r>
              <w:rPr>
                <w:rFonts w:hint="eastAsia"/>
                <w:b/>
              </w:rPr>
              <w:t>思政元素点</w:t>
            </w:r>
          </w:p>
        </w:tc>
        <w:tc>
          <w:tcPr>
            <w:tcW w:w="2126" w:type="dxa"/>
          </w:tcPr>
          <w:p>
            <w:pPr>
              <w:spacing w:line="288" w:lineRule="auto"/>
              <w:jc w:val="center"/>
              <w:rPr>
                <w:b/>
              </w:rPr>
            </w:pPr>
            <w:r>
              <w:rPr>
                <w:rFonts w:hint="eastAsia"/>
                <w:b/>
              </w:rPr>
              <w:t>思政目标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spacing w:line="288" w:lineRule="auto"/>
              <w:jc w:val="center"/>
              <w:rPr>
                <w:b/>
              </w:rPr>
            </w:pPr>
            <w:r>
              <w:rPr>
                <w:rFonts w:hint="eastAsia"/>
                <w:b/>
              </w:rPr>
              <w:t>1</w:t>
            </w:r>
          </w:p>
        </w:tc>
        <w:tc>
          <w:tcPr>
            <w:tcW w:w="1701" w:type="dxa"/>
          </w:tcPr>
          <w:p>
            <w:r>
              <w:rPr>
                <w:rFonts w:hint="eastAsia"/>
              </w:rPr>
              <w:t>第一章 电影与医学：理论与方法</w:t>
            </w:r>
          </w:p>
          <w:p/>
        </w:tc>
        <w:tc>
          <w:tcPr>
            <w:tcW w:w="2268" w:type="dxa"/>
          </w:tcPr>
          <w:p>
            <w:r>
              <w:rPr>
                <w:rFonts w:hint="eastAsia"/>
              </w:rPr>
              <w:t>学生的职业精神养成</w:t>
            </w:r>
          </w:p>
        </w:tc>
        <w:tc>
          <w:tcPr>
            <w:tcW w:w="1701" w:type="dxa"/>
          </w:tcPr>
          <w:p>
            <w:r>
              <w:rPr>
                <w:rFonts w:hint="eastAsia"/>
              </w:rPr>
              <w:t>习近平总书记关于教育的重要论述</w:t>
            </w:r>
          </w:p>
          <w:p>
            <w:pPr>
              <w:spacing w:line="288" w:lineRule="auto"/>
              <w:rPr>
                <w:b/>
              </w:rPr>
            </w:pPr>
          </w:p>
        </w:tc>
        <w:tc>
          <w:tcPr>
            <w:tcW w:w="2126" w:type="dxa"/>
          </w:tcPr>
          <w:p>
            <w:pPr>
              <w:spacing w:line="288" w:lineRule="auto"/>
              <w:rPr>
                <w:b/>
              </w:rPr>
            </w:pPr>
            <w:r>
              <w:rPr>
                <w:rFonts w:hint="eastAsia"/>
              </w:rPr>
              <w:t>深入领会：（1）“立德树人”是教育的宗旨；（2）教育要思考“培养什么样的人、如何培养人以及为谁培养人”的问题。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spacing w:line="288" w:lineRule="auto"/>
              <w:jc w:val="center"/>
              <w:rPr>
                <w:b/>
              </w:rPr>
            </w:pPr>
            <w:r>
              <w:rPr>
                <w:rFonts w:hint="eastAsia"/>
                <w:b/>
              </w:rPr>
              <w:t>2</w:t>
            </w:r>
          </w:p>
        </w:tc>
        <w:tc>
          <w:tcPr>
            <w:tcW w:w="1701" w:type="dxa"/>
          </w:tcPr>
          <w:p>
            <w:r>
              <w:rPr>
                <w:rFonts w:hint="eastAsia"/>
              </w:rPr>
              <w:t>第五章 社会公正</w:t>
            </w:r>
          </w:p>
        </w:tc>
        <w:tc>
          <w:tcPr>
            <w:tcW w:w="2268" w:type="dxa"/>
          </w:tcPr>
          <w:p>
            <w:r>
              <w:rPr>
                <w:rFonts w:hint="eastAsia"/>
              </w:rPr>
              <w:t>社会公正原则的要求</w:t>
            </w:r>
          </w:p>
        </w:tc>
        <w:tc>
          <w:tcPr>
            <w:tcW w:w="1701" w:type="dxa"/>
          </w:tcPr>
          <w:p>
            <w:r>
              <w:rPr>
                <w:rFonts w:hint="eastAsia"/>
              </w:rPr>
              <w:t>习近平总书记关于健康中国战略的重要论述</w:t>
            </w:r>
          </w:p>
          <w:p>
            <w:pPr>
              <w:spacing w:line="288" w:lineRule="auto"/>
              <w:rPr>
                <w:b/>
              </w:rPr>
            </w:pPr>
          </w:p>
        </w:tc>
        <w:tc>
          <w:tcPr>
            <w:tcW w:w="2126" w:type="dxa"/>
          </w:tcPr>
          <w:p>
            <w:r>
              <w:rPr>
                <w:rFonts w:hint="eastAsia"/>
              </w:rPr>
              <w:t>深入领会：（1）“卫生工作要把以治病为中心转变为以人民健康为中心”；（2）“没有全民健康，就没有全面小康。要把人民健康放在优先发展的战略地位”；（3）“努力全方位全周期保障人民健康。”的深刻内涵。</w:t>
            </w:r>
          </w:p>
          <w:p>
            <w:pPr>
              <w:spacing w:line="340" w:lineRule="atLeast"/>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spacing w:line="288" w:lineRule="auto"/>
              <w:jc w:val="center"/>
              <w:rPr>
                <w:b/>
              </w:rPr>
            </w:pPr>
            <w:r>
              <w:rPr>
                <w:rFonts w:hint="eastAsia"/>
                <w:b/>
              </w:rPr>
              <w:t>3</w:t>
            </w:r>
          </w:p>
        </w:tc>
        <w:tc>
          <w:tcPr>
            <w:tcW w:w="1701" w:type="dxa"/>
          </w:tcPr>
          <w:p>
            <w:r>
              <w:rPr>
                <w:rFonts w:hint="eastAsia"/>
              </w:rPr>
              <w:t>第七章：医生的职业人格</w:t>
            </w:r>
          </w:p>
          <w:p/>
        </w:tc>
        <w:tc>
          <w:tcPr>
            <w:tcW w:w="2268" w:type="dxa"/>
          </w:tcPr>
          <w:p>
            <w:r>
              <w:rPr>
                <w:rFonts w:hint="eastAsia"/>
              </w:rPr>
              <w:t>新时代职业精神的内容</w:t>
            </w:r>
          </w:p>
        </w:tc>
        <w:tc>
          <w:tcPr>
            <w:tcW w:w="1701" w:type="dxa"/>
          </w:tcPr>
          <w:p>
            <w:pPr>
              <w:spacing w:line="288" w:lineRule="auto"/>
              <w:rPr>
                <w:b/>
              </w:rPr>
            </w:pPr>
            <w:r>
              <w:rPr>
                <w:rFonts w:hint="eastAsia"/>
              </w:rPr>
              <w:t>习近平总书记关于卫生与健康工作的重要论述</w:t>
            </w:r>
          </w:p>
        </w:tc>
        <w:tc>
          <w:tcPr>
            <w:tcW w:w="2126" w:type="dxa"/>
          </w:tcPr>
          <w:p>
            <w:pPr>
              <w:rPr>
                <w:b/>
              </w:rPr>
            </w:pPr>
            <w:r>
              <w:rPr>
                <w:rFonts w:hint="eastAsia"/>
              </w:rPr>
              <w:t>深入领会：（1）医务人员“敬佑生命、救死扶伤、甘于奉献、大爱无疆”的精神；（2）“广大医务工作者要恪守医德医风医道，修医德、行仁术，怀救苦之心、做苍生大医，努力为人民群众提供更加优质高效的健康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spacing w:line="288" w:lineRule="auto"/>
              <w:jc w:val="center"/>
              <w:rPr>
                <w:b/>
              </w:rPr>
            </w:pPr>
            <w:r>
              <w:rPr>
                <w:rFonts w:hint="eastAsia"/>
                <w:b/>
              </w:rPr>
              <w:t>4</w:t>
            </w:r>
          </w:p>
        </w:tc>
        <w:tc>
          <w:tcPr>
            <w:tcW w:w="1701" w:type="dxa"/>
          </w:tcPr>
          <w:p>
            <w:r>
              <w:rPr>
                <w:rFonts w:hint="eastAsia"/>
              </w:rPr>
              <w:t>第八章 医学研究的伦理</w:t>
            </w:r>
          </w:p>
          <w:p/>
        </w:tc>
        <w:tc>
          <w:tcPr>
            <w:tcW w:w="2268" w:type="dxa"/>
          </w:tcPr>
          <w:p>
            <w:pPr>
              <w:spacing w:line="288" w:lineRule="auto"/>
              <w:rPr>
                <w:b/>
              </w:rPr>
            </w:pPr>
          </w:p>
        </w:tc>
        <w:tc>
          <w:tcPr>
            <w:tcW w:w="1701" w:type="dxa"/>
          </w:tcPr>
          <w:p>
            <w:pPr>
              <w:spacing w:line="288" w:lineRule="auto"/>
              <w:rPr>
                <w:b/>
              </w:rPr>
            </w:pPr>
            <w:r>
              <w:rPr>
                <w:rFonts w:hint="eastAsia"/>
              </w:rPr>
              <w:t>习近平总书记关于科技伦理治理的论述</w:t>
            </w:r>
          </w:p>
        </w:tc>
        <w:tc>
          <w:tcPr>
            <w:tcW w:w="2126" w:type="dxa"/>
          </w:tcPr>
          <w:p>
            <w:pPr>
              <w:spacing w:line="288" w:lineRule="auto"/>
            </w:pPr>
            <w:r>
              <w:rPr>
                <w:rFonts w:hint="eastAsia"/>
              </w:rPr>
              <w:t>深入领会：中央两办《</w:t>
            </w:r>
            <w:r>
              <w:t>关于加强科技伦理治理的指导意见</w:t>
            </w:r>
            <w:r>
              <w:rPr>
                <w:rFonts w:hint="eastAsia"/>
              </w:rPr>
              <w:t>》</w:t>
            </w:r>
          </w:p>
        </w:tc>
      </w:tr>
    </w:tbl>
    <w:p>
      <w:pPr>
        <w:spacing w:line="360" w:lineRule="auto"/>
        <w:rPr>
          <w:b/>
        </w:rPr>
      </w:pPr>
      <w:r>
        <w:rPr>
          <w:rFonts w:hint="eastAsia"/>
          <w:b/>
        </w:rPr>
        <w:t xml:space="preserve">    七、主要教学方法</w:t>
      </w:r>
    </w:p>
    <w:p>
      <w:pPr>
        <w:spacing w:line="360" w:lineRule="auto"/>
        <w:ind w:firstLine="420" w:firstLineChars="200"/>
      </w:pPr>
      <w:r>
        <w:rPr>
          <w:rFonts w:hint="eastAsia"/>
        </w:rPr>
        <w:t>理论讲座、电影观看与研讨、小组讨论、反思性写作。</w:t>
      </w:r>
    </w:p>
    <w:p>
      <w:pPr>
        <w:spacing w:line="360" w:lineRule="auto"/>
        <w:ind w:firstLine="422" w:firstLineChars="200"/>
        <w:rPr>
          <w:b/>
        </w:rPr>
      </w:pPr>
      <w:r>
        <w:rPr>
          <w:rFonts w:hint="eastAsia"/>
          <w:b/>
        </w:rPr>
        <w:t>八、参考教材（名称、主编、出版社、出版时间）</w:t>
      </w:r>
    </w:p>
    <w:p>
      <w:pPr>
        <w:spacing w:line="360" w:lineRule="auto"/>
        <w:ind w:firstLine="420" w:firstLineChars="200"/>
      </w:pPr>
      <w:r>
        <w:rPr>
          <w:rFonts w:hint="eastAsia"/>
        </w:rPr>
        <w:t>无</w:t>
      </w:r>
    </w:p>
    <w:p>
      <w:pPr>
        <w:spacing w:line="360" w:lineRule="auto"/>
        <w:rPr>
          <w:b/>
        </w:rPr>
      </w:pPr>
      <w:r>
        <w:rPr>
          <w:rFonts w:hint="eastAsia"/>
          <w:b/>
        </w:rPr>
        <w:t xml:space="preserve">    九、教学学习</w:t>
      </w:r>
      <w:r>
        <w:rPr>
          <w:b/>
        </w:rPr>
        <w:t>资源</w:t>
      </w:r>
      <w:r>
        <w:rPr>
          <w:rFonts w:hint="eastAsia"/>
          <w:b/>
        </w:rPr>
        <w:t>或</w:t>
      </w:r>
      <w:r>
        <w:rPr>
          <w:b/>
        </w:rPr>
        <w:t>平台</w:t>
      </w:r>
    </w:p>
    <w:p>
      <w:pPr>
        <w:spacing w:line="288" w:lineRule="auto"/>
        <w:ind w:firstLine="420" w:firstLineChars="200"/>
      </w:pPr>
      <w:r>
        <w:rPr>
          <w:rFonts w:hint="eastAsia"/>
        </w:rPr>
        <w:t>（一）学习参考资料</w:t>
      </w:r>
    </w:p>
    <w:p>
      <w:pPr>
        <w:numPr>
          <w:ilvl w:val="0"/>
          <w:numId w:val="1"/>
        </w:numPr>
        <w:spacing w:line="288" w:lineRule="auto"/>
      </w:pPr>
      <w:r>
        <w:rPr>
          <w:rFonts w:hint="eastAsia"/>
        </w:rPr>
        <w:t>Richard L.Cruess.刘惠军、唐健 译.医学职业精神培育.北京大学医学出版社.2013.</w:t>
      </w:r>
    </w:p>
    <w:p>
      <w:pPr>
        <w:numPr>
          <w:ilvl w:val="0"/>
          <w:numId w:val="1"/>
        </w:numPr>
        <w:spacing w:line="288" w:lineRule="auto"/>
      </w:pPr>
      <w:r>
        <w:rPr>
          <w:rFonts w:hint="eastAsia"/>
        </w:rPr>
        <w:t>陆晓娅.影像中的生死课.北京师范大学出版社.2016.</w:t>
      </w:r>
    </w:p>
    <w:p>
      <w:pPr>
        <w:numPr>
          <w:ilvl w:val="0"/>
          <w:numId w:val="1"/>
        </w:numPr>
        <w:spacing w:line="288" w:lineRule="auto"/>
      </w:pPr>
      <w:r>
        <w:rPr>
          <w:rFonts w:hint="eastAsia"/>
        </w:rPr>
        <w:t>王一方.白色巨塔:电影中的生死、疾苦与救疗.北京大学出版社.2015</w:t>
      </w:r>
    </w:p>
    <w:p>
      <w:pPr>
        <w:numPr>
          <w:ilvl w:val="0"/>
          <w:numId w:val="1"/>
        </w:numPr>
        <w:spacing w:line="288" w:lineRule="auto"/>
      </w:pPr>
      <w:r>
        <w:rPr>
          <w:rFonts w:hint="eastAsia"/>
        </w:rPr>
        <w:t>汤姆·比切姆，詹姆斯·邱卓思.生物医学伦理学的原则. 北京大学出版社.2016.</w:t>
      </w:r>
    </w:p>
    <w:p>
      <w:pPr>
        <w:numPr>
          <w:ilvl w:val="0"/>
          <w:numId w:val="1"/>
        </w:numPr>
        <w:spacing w:line="288" w:lineRule="auto"/>
      </w:pPr>
      <w:r>
        <w:rPr>
          <w:rFonts w:hint="eastAsia"/>
        </w:rPr>
        <w:t>丽塔·卡伦著，郭莉萍 译，叙事医学：尊重疾病的故事，北京大学医学出版社，2015.</w:t>
      </w:r>
    </w:p>
    <w:p>
      <w:pPr>
        <w:spacing w:line="288" w:lineRule="auto"/>
        <w:ind w:firstLine="420" w:firstLineChars="200"/>
      </w:pPr>
      <w:r>
        <w:rPr>
          <w:rFonts w:hint="eastAsia"/>
        </w:rPr>
        <w:t>（二）平台：学习通课程平台</w:t>
      </w:r>
    </w:p>
    <w:p>
      <w:pPr>
        <w:spacing w:line="288" w:lineRule="auto"/>
        <w:ind w:firstLine="435"/>
        <w:rPr>
          <w:b/>
        </w:rPr>
      </w:pPr>
      <w:r>
        <w:rPr>
          <w:rFonts w:hint="eastAsia"/>
          <w:b/>
        </w:rPr>
        <w:t>十、考核方式</w:t>
      </w:r>
    </w:p>
    <w:p>
      <w:pPr>
        <w:spacing w:line="360" w:lineRule="auto"/>
        <w:ind w:firstLine="420" w:firstLineChars="200"/>
      </w:pPr>
      <w:r>
        <w:rPr>
          <w:rFonts w:hint="eastAsia"/>
        </w:rPr>
        <w:t>考查：完成两部电影分析报告。</w:t>
      </w:r>
    </w:p>
    <w:p>
      <w:pPr>
        <w:spacing w:line="360" w:lineRule="auto"/>
        <w:ind w:firstLine="420" w:firstLineChars="200"/>
        <w:sectPr>
          <w:pgSz w:w="11906" w:h="16838"/>
          <w:pgMar w:top="1440" w:right="1797" w:bottom="1440" w:left="1797" w:header="851" w:footer="992" w:gutter="0"/>
          <w:pgNumType w:start="1"/>
          <w:cols w:space="425" w:num="1"/>
          <w:docGrid w:type="lines" w:linePitch="312" w:charSpace="0"/>
        </w:sectPr>
      </w:pPr>
      <w:r>
        <w:rPr>
          <w:rFonts w:hint="eastAsia"/>
        </w:rPr>
        <w:t>反馈：课题反馈、学习通平台、微信群</w:t>
      </w:r>
      <w:r>
        <w:t>。</w:t>
      </w:r>
    </w:p>
    <w:p>
      <w:pPr>
        <w:spacing w:line="288" w:lineRule="auto"/>
        <w:rPr>
          <w:b/>
        </w:rPr>
      </w:pPr>
      <w:r>
        <w:rPr>
          <w:rFonts w:hint="eastAsia"/>
          <w:b/>
        </w:rPr>
        <w:t>附表：教学计划表（在相应的表格内填写教学学时数）</w:t>
      </w:r>
    </w:p>
    <w:tbl>
      <w:tblPr>
        <w:tblStyle w:val="9"/>
        <w:tblW w:w="135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7"/>
        <w:gridCol w:w="4997"/>
        <w:gridCol w:w="2268"/>
        <w:gridCol w:w="2126"/>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207" w:type="dxa"/>
            <w:vAlign w:val="center"/>
          </w:tcPr>
          <w:p>
            <w:pPr>
              <w:spacing w:line="288" w:lineRule="auto"/>
              <w:jc w:val="center"/>
              <w:rPr>
                <w:b/>
              </w:rPr>
            </w:pPr>
            <w:r>
              <w:rPr>
                <w:rFonts w:hint="eastAsia"/>
                <w:b/>
              </w:rPr>
              <w:t>序号</w:t>
            </w:r>
          </w:p>
        </w:tc>
        <w:tc>
          <w:tcPr>
            <w:tcW w:w="4997" w:type="dxa"/>
            <w:vAlign w:val="center"/>
          </w:tcPr>
          <w:p>
            <w:pPr>
              <w:spacing w:line="288" w:lineRule="auto"/>
              <w:jc w:val="center"/>
              <w:rPr>
                <w:b/>
              </w:rPr>
            </w:pPr>
            <w:r>
              <w:rPr>
                <w:rFonts w:hint="eastAsia"/>
                <w:b/>
              </w:rPr>
              <w:t>学习内容</w:t>
            </w:r>
          </w:p>
        </w:tc>
        <w:tc>
          <w:tcPr>
            <w:tcW w:w="2268" w:type="dxa"/>
            <w:vAlign w:val="center"/>
          </w:tcPr>
          <w:p>
            <w:pPr>
              <w:spacing w:line="288" w:lineRule="auto"/>
              <w:jc w:val="center"/>
              <w:rPr>
                <w:b/>
              </w:rPr>
            </w:pPr>
            <w:r>
              <w:rPr>
                <w:rFonts w:hint="eastAsia"/>
                <w:b/>
              </w:rPr>
              <w:t>理论学时</w:t>
            </w:r>
          </w:p>
        </w:tc>
        <w:tc>
          <w:tcPr>
            <w:tcW w:w="2126" w:type="dxa"/>
            <w:vAlign w:val="center"/>
          </w:tcPr>
          <w:p>
            <w:pPr>
              <w:spacing w:line="288" w:lineRule="auto"/>
              <w:jc w:val="center"/>
              <w:rPr>
                <w:b/>
              </w:rPr>
            </w:pPr>
            <w:r>
              <w:rPr>
                <w:rFonts w:hint="eastAsia"/>
                <w:b/>
              </w:rPr>
              <w:t>实验学时</w:t>
            </w:r>
          </w:p>
        </w:tc>
        <w:tc>
          <w:tcPr>
            <w:tcW w:w="2977" w:type="dxa"/>
            <w:vAlign w:val="center"/>
          </w:tcPr>
          <w:p>
            <w:pPr>
              <w:spacing w:line="288" w:lineRule="auto"/>
              <w:jc w:val="center"/>
              <w:rPr>
                <w:b/>
              </w:rPr>
            </w:pPr>
            <w:r>
              <w:rPr>
                <w:rFonts w:hint="eastAsia"/>
                <w:b/>
              </w:rPr>
              <w:t>是否自主学习</w:t>
            </w:r>
            <w:r>
              <w:rPr>
                <w:b/>
              </w:rPr>
              <w:t>内容</w:t>
            </w:r>
            <w:r>
              <w:rPr>
                <w:rFonts w:hint="eastAsia"/>
                <w:b/>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207" w:type="dxa"/>
            <w:vAlign w:val="center"/>
          </w:tcPr>
          <w:p>
            <w:pPr>
              <w:spacing w:line="288" w:lineRule="auto"/>
              <w:jc w:val="center"/>
              <w:rPr>
                <w:b/>
              </w:rPr>
            </w:pPr>
            <w:r>
              <w:rPr>
                <w:rFonts w:hint="eastAsia"/>
                <w:b/>
              </w:rPr>
              <w:t>1</w:t>
            </w:r>
          </w:p>
        </w:tc>
        <w:tc>
          <w:tcPr>
            <w:tcW w:w="4997" w:type="dxa"/>
            <w:vAlign w:val="center"/>
          </w:tcPr>
          <w:p>
            <w:pPr>
              <w:spacing w:line="288" w:lineRule="auto"/>
              <w:rPr>
                <w:rFonts w:ascii="宋体" w:hAnsi="宋体"/>
                <w:szCs w:val="21"/>
              </w:rPr>
            </w:pPr>
            <w:r>
              <w:rPr>
                <w:rFonts w:hint="eastAsia" w:ascii="宋体" w:hAnsi="宋体"/>
                <w:szCs w:val="21"/>
              </w:rPr>
              <w:t>第一章 电影与医学：理论与方法</w:t>
            </w:r>
          </w:p>
        </w:tc>
        <w:tc>
          <w:tcPr>
            <w:tcW w:w="2268" w:type="dxa"/>
            <w:vAlign w:val="center"/>
          </w:tcPr>
          <w:p>
            <w:pPr>
              <w:spacing w:line="288" w:lineRule="auto"/>
              <w:jc w:val="center"/>
              <w:rPr>
                <w:rFonts w:ascii="宋体" w:hAnsi="宋体"/>
                <w:b/>
                <w:bCs/>
                <w:szCs w:val="21"/>
              </w:rPr>
            </w:pPr>
            <w:r>
              <w:rPr>
                <w:rFonts w:hint="eastAsia" w:ascii="宋体" w:hAnsi="宋体"/>
                <w:b/>
                <w:bCs/>
                <w:szCs w:val="21"/>
              </w:rPr>
              <w:t>4</w:t>
            </w:r>
          </w:p>
        </w:tc>
        <w:tc>
          <w:tcPr>
            <w:tcW w:w="2126" w:type="dxa"/>
            <w:vAlign w:val="center"/>
          </w:tcPr>
          <w:p>
            <w:pPr>
              <w:spacing w:line="288" w:lineRule="auto"/>
              <w:jc w:val="center"/>
              <w:rPr>
                <w:rFonts w:ascii="宋体" w:hAnsi="宋体"/>
                <w:b/>
                <w:bCs/>
                <w:szCs w:val="21"/>
              </w:rPr>
            </w:pPr>
            <w:r>
              <w:rPr>
                <w:rFonts w:hint="eastAsia" w:ascii="宋体" w:hAnsi="宋体"/>
                <w:b/>
                <w:bCs/>
                <w:szCs w:val="21"/>
              </w:rPr>
              <w:t>0</w:t>
            </w:r>
          </w:p>
        </w:tc>
        <w:tc>
          <w:tcPr>
            <w:tcW w:w="2977" w:type="dxa"/>
            <w:vAlign w:val="center"/>
          </w:tcPr>
          <w:p>
            <w:pPr>
              <w:spacing w:line="288" w:lineRule="auto"/>
              <w:jc w:val="center"/>
              <w:rPr>
                <w:rFonts w:ascii="宋体" w:hAnsi="宋体"/>
                <w:b/>
                <w:bCs/>
                <w:szCs w:val="21"/>
              </w:rPr>
            </w:pPr>
            <w:r>
              <w:rPr>
                <w:rFonts w:hint="eastAsia" w:ascii="宋体" w:hAnsi="宋体"/>
                <w:b/>
                <w:bCs/>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207" w:type="dxa"/>
            <w:vAlign w:val="center"/>
          </w:tcPr>
          <w:p>
            <w:pPr>
              <w:spacing w:line="288" w:lineRule="auto"/>
              <w:jc w:val="center"/>
              <w:rPr>
                <w:b/>
              </w:rPr>
            </w:pPr>
            <w:r>
              <w:rPr>
                <w:rFonts w:hint="eastAsia"/>
                <w:b/>
              </w:rPr>
              <w:t>2</w:t>
            </w:r>
          </w:p>
        </w:tc>
        <w:tc>
          <w:tcPr>
            <w:tcW w:w="4997" w:type="dxa"/>
            <w:vAlign w:val="center"/>
          </w:tcPr>
          <w:p>
            <w:pPr>
              <w:spacing w:line="288" w:lineRule="auto"/>
              <w:rPr>
                <w:rFonts w:ascii="宋体" w:hAnsi="宋体"/>
                <w:szCs w:val="21"/>
              </w:rPr>
            </w:pPr>
            <w:r>
              <w:rPr>
                <w:rFonts w:hint="eastAsia" w:ascii="宋体" w:hAnsi="宋体"/>
                <w:szCs w:val="21"/>
              </w:rPr>
              <w:t>第二章 人与病</w:t>
            </w:r>
          </w:p>
        </w:tc>
        <w:tc>
          <w:tcPr>
            <w:tcW w:w="2268" w:type="dxa"/>
            <w:vAlign w:val="center"/>
          </w:tcPr>
          <w:p>
            <w:pPr>
              <w:spacing w:line="288" w:lineRule="auto"/>
              <w:jc w:val="center"/>
              <w:rPr>
                <w:rFonts w:ascii="宋体" w:hAnsi="宋体"/>
                <w:b/>
                <w:bCs/>
                <w:szCs w:val="21"/>
              </w:rPr>
            </w:pPr>
            <w:r>
              <w:rPr>
                <w:rFonts w:hint="eastAsia" w:ascii="宋体" w:hAnsi="宋体"/>
                <w:b/>
                <w:bCs/>
                <w:szCs w:val="21"/>
              </w:rPr>
              <w:t>4</w:t>
            </w:r>
          </w:p>
        </w:tc>
        <w:tc>
          <w:tcPr>
            <w:tcW w:w="2126" w:type="dxa"/>
            <w:vAlign w:val="center"/>
          </w:tcPr>
          <w:p>
            <w:pPr>
              <w:spacing w:line="288" w:lineRule="auto"/>
              <w:jc w:val="center"/>
              <w:rPr>
                <w:rFonts w:ascii="宋体" w:hAnsi="宋体"/>
                <w:b/>
                <w:bCs/>
                <w:szCs w:val="21"/>
              </w:rPr>
            </w:pPr>
            <w:r>
              <w:rPr>
                <w:rFonts w:hint="eastAsia" w:ascii="宋体" w:hAnsi="宋体"/>
                <w:b/>
                <w:bCs/>
                <w:szCs w:val="21"/>
              </w:rPr>
              <w:t>0</w:t>
            </w:r>
          </w:p>
        </w:tc>
        <w:tc>
          <w:tcPr>
            <w:tcW w:w="2977" w:type="dxa"/>
            <w:vAlign w:val="center"/>
          </w:tcPr>
          <w:p>
            <w:pPr>
              <w:spacing w:line="288" w:lineRule="auto"/>
              <w:jc w:val="center"/>
              <w:rPr>
                <w:rFonts w:ascii="宋体" w:hAnsi="宋体"/>
                <w:b/>
                <w:bCs/>
                <w:szCs w:val="21"/>
              </w:rPr>
            </w:pPr>
            <w:r>
              <w:rPr>
                <w:rFonts w:hint="eastAsia" w:ascii="宋体" w:hAnsi="宋体"/>
                <w:b/>
                <w:bCs/>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207" w:type="dxa"/>
            <w:vAlign w:val="center"/>
          </w:tcPr>
          <w:p>
            <w:pPr>
              <w:spacing w:line="288" w:lineRule="auto"/>
              <w:jc w:val="center"/>
              <w:rPr>
                <w:b/>
              </w:rPr>
            </w:pPr>
            <w:r>
              <w:rPr>
                <w:rFonts w:hint="eastAsia"/>
                <w:b/>
              </w:rPr>
              <w:t>3</w:t>
            </w:r>
          </w:p>
        </w:tc>
        <w:tc>
          <w:tcPr>
            <w:tcW w:w="4997" w:type="dxa"/>
            <w:vAlign w:val="center"/>
          </w:tcPr>
          <w:p>
            <w:pPr>
              <w:spacing w:line="288" w:lineRule="auto"/>
              <w:rPr>
                <w:rFonts w:ascii="宋体" w:hAnsi="宋体"/>
                <w:szCs w:val="21"/>
              </w:rPr>
            </w:pPr>
            <w:r>
              <w:rPr>
                <w:rFonts w:hint="eastAsia" w:ascii="宋体" w:hAnsi="宋体"/>
                <w:szCs w:val="21"/>
              </w:rPr>
              <w:t>第三章 病人的自主性</w:t>
            </w:r>
          </w:p>
        </w:tc>
        <w:tc>
          <w:tcPr>
            <w:tcW w:w="2268" w:type="dxa"/>
            <w:vAlign w:val="center"/>
          </w:tcPr>
          <w:p>
            <w:pPr>
              <w:spacing w:line="288" w:lineRule="auto"/>
              <w:jc w:val="center"/>
              <w:rPr>
                <w:rFonts w:ascii="宋体" w:hAnsi="宋体"/>
                <w:b/>
                <w:bCs/>
                <w:szCs w:val="21"/>
              </w:rPr>
            </w:pPr>
            <w:r>
              <w:rPr>
                <w:rFonts w:hint="eastAsia" w:ascii="宋体" w:hAnsi="宋体"/>
                <w:b/>
                <w:bCs/>
                <w:szCs w:val="21"/>
              </w:rPr>
              <w:t>4</w:t>
            </w:r>
          </w:p>
        </w:tc>
        <w:tc>
          <w:tcPr>
            <w:tcW w:w="2126" w:type="dxa"/>
            <w:vAlign w:val="center"/>
          </w:tcPr>
          <w:p>
            <w:pPr>
              <w:spacing w:line="288" w:lineRule="auto"/>
              <w:jc w:val="center"/>
              <w:rPr>
                <w:rFonts w:ascii="宋体" w:hAnsi="宋体"/>
                <w:b/>
                <w:bCs/>
                <w:szCs w:val="21"/>
              </w:rPr>
            </w:pPr>
            <w:r>
              <w:rPr>
                <w:rFonts w:hint="eastAsia" w:ascii="宋体" w:hAnsi="宋体"/>
                <w:b/>
                <w:bCs/>
                <w:szCs w:val="21"/>
              </w:rPr>
              <w:t>0</w:t>
            </w:r>
          </w:p>
        </w:tc>
        <w:tc>
          <w:tcPr>
            <w:tcW w:w="2977" w:type="dxa"/>
            <w:vAlign w:val="center"/>
          </w:tcPr>
          <w:p>
            <w:pPr>
              <w:spacing w:line="288" w:lineRule="auto"/>
              <w:jc w:val="center"/>
              <w:rPr>
                <w:rFonts w:ascii="宋体" w:hAnsi="宋体"/>
                <w:b/>
                <w:bCs/>
                <w:szCs w:val="21"/>
              </w:rPr>
            </w:pPr>
            <w:r>
              <w:rPr>
                <w:rFonts w:hint="eastAsia" w:ascii="宋体" w:hAnsi="宋体"/>
                <w:b/>
                <w:bCs/>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1207" w:type="dxa"/>
            <w:vAlign w:val="center"/>
          </w:tcPr>
          <w:p>
            <w:pPr>
              <w:spacing w:line="288" w:lineRule="auto"/>
              <w:jc w:val="center"/>
              <w:rPr>
                <w:b/>
              </w:rPr>
            </w:pPr>
            <w:r>
              <w:rPr>
                <w:rFonts w:hint="eastAsia"/>
                <w:b/>
              </w:rPr>
              <w:t>4</w:t>
            </w:r>
          </w:p>
        </w:tc>
        <w:tc>
          <w:tcPr>
            <w:tcW w:w="4997" w:type="dxa"/>
            <w:vAlign w:val="center"/>
          </w:tcPr>
          <w:p>
            <w:pPr>
              <w:spacing w:line="288" w:lineRule="auto"/>
              <w:rPr>
                <w:rFonts w:ascii="宋体" w:hAnsi="宋体"/>
                <w:szCs w:val="21"/>
              </w:rPr>
            </w:pPr>
            <w:r>
              <w:rPr>
                <w:rFonts w:hint="eastAsia" w:ascii="宋体" w:hAnsi="宋体"/>
                <w:szCs w:val="21"/>
              </w:rPr>
              <w:t>第四章 不伤害与行善</w:t>
            </w:r>
          </w:p>
        </w:tc>
        <w:tc>
          <w:tcPr>
            <w:tcW w:w="2268" w:type="dxa"/>
            <w:vAlign w:val="center"/>
          </w:tcPr>
          <w:p>
            <w:pPr>
              <w:spacing w:line="288" w:lineRule="auto"/>
              <w:jc w:val="center"/>
              <w:rPr>
                <w:rFonts w:ascii="宋体" w:hAnsi="宋体"/>
                <w:b/>
                <w:bCs/>
                <w:szCs w:val="21"/>
              </w:rPr>
            </w:pPr>
            <w:r>
              <w:rPr>
                <w:rFonts w:hint="eastAsia" w:ascii="宋体" w:hAnsi="宋体"/>
                <w:b/>
                <w:bCs/>
                <w:szCs w:val="21"/>
              </w:rPr>
              <w:t>4</w:t>
            </w:r>
          </w:p>
        </w:tc>
        <w:tc>
          <w:tcPr>
            <w:tcW w:w="2126" w:type="dxa"/>
            <w:vAlign w:val="center"/>
          </w:tcPr>
          <w:p>
            <w:pPr>
              <w:spacing w:line="288" w:lineRule="auto"/>
              <w:jc w:val="center"/>
              <w:rPr>
                <w:rFonts w:ascii="宋体" w:hAnsi="宋体"/>
                <w:b/>
                <w:bCs/>
                <w:szCs w:val="21"/>
              </w:rPr>
            </w:pPr>
            <w:r>
              <w:rPr>
                <w:rFonts w:hint="eastAsia" w:ascii="宋体" w:hAnsi="宋体"/>
                <w:b/>
                <w:bCs/>
                <w:szCs w:val="21"/>
              </w:rPr>
              <w:t>0</w:t>
            </w:r>
          </w:p>
        </w:tc>
        <w:tc>
          <w:tcPr>
            <w:tcW w:w="2977" w:type="dxa"/>
            <w:vAlign w:val="center"/>
          </w:tcPr>
          <w:p>
            <w:pPr>
              <w:spacing w:line="288" w:lineRule="auto"/>
              <w:jc w:val="center"/>
              <w:rPr>
                <w:rFonts w:ascii="宋体" w:hAnsi="宋体"/>
                <w:b/>
                <w:bCs/>
                <w:szCs w:val="21"/>
              </w:rPr>
            </w:pPr>
            <w:r>
              <w:rPr>
                <w:rFonts w:hint="eastAsia" w:ascii="宋体" w:hAnsi="宋体"/>
                <w:b/>
                <w:bCs/>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207" w:type="dxa"/>
            <w:vAlign w:val="center"/>
          </w:tcPr>
          <w:p>
            <w:pPr>
              <w:spacing w:line="288" w:lineRule="auto"/>
              <w:jc w:val="center"/>
              <w:rPr>
                <w:b/>
              </w:rPr>
            </w:pPr>
            <w:r>
              <w:rPr>
                <w:rFonts w:hint="eastAsia"/>
                <w:b/>
              </w:rPr>
              <w:t>5</w:t>
            </w:r>
          </w:p>
        </w:tc>
        <w:tc>
          <w:tcPr>
            <w:tcW w:w="4997" w:type="dxa"/>
            <w:vAlign w:val="center"/>
          </w:tcPr>
          <w:p>
            <w:pPr>
              <w:spacing w:line="288" w:lineRule="auto"/>
              <w:rPr>
                <w:rFonts w:ascii="宋体" w:hAnsi="宋体"/>
                <w:szCs w:val="21"/>
              </w:rPr>
            </w:pPr>
            <w:r>
              <w:rPr>
                <w:rFonts w:hint="eastAsia" w:ascii="宋体" w:hAnsi="宋体"/>
                <w:szCs w:val="21"/>
              </w:rPr>
              <w:t>第五章 社会公正</w:t>
            </w:r>
          </w:p>
        </w:tc>
        <w:tc>
          <w:tcPr>
            <w:tcW w:w="2268" w:type="dxa"/>
            <w:vAlign w:val="center"/>
          </w:tcPr>
          <w:p>
            <w:pPr>
              <w:spacing w:line="288" w:lineRule="auto"/>
              <w:jc w:val="center"/>
              <w:rPr>
                <w:rFonts w:ascii="宋体" w:hAnsi="宋体"/>
                <w:b/>
                <w:bCs/>
                <w:szCs w:val="21"/>
              </w:rPr>
            </w:pPr>
            <w:r>
              <w:rPr>
                <w:rFonts w:hint="eastAsia" w:ascii="宋体" w:hAnsi="宋体"/>
                <w:b/>
                <w:bCs/>
                <w:szCs w:val="21"/>
              </w:rPr>
              <w:t>4</w:t>
            </w:r>
          </w:p>
        </w:tc>
        <w:tc>
          <w:tcPr>
            <w:tcW w:w="2126" w:type="dxa"/>
            <w:vAlign w:val="center"/>
          </w:tcPr>
          <w:p>
            <w:pPr>
              <w:spacing w:line="288" w:lineRule="auto"/>
              <w:jc w:val="center"/>
              <w:rPr>
                <w:rFonts w:ascii="宋体" w:hAnsi="宋体"/>
                <w:b/>
                <w:bCs/>
                <w:szCs w:val="21"/>
              </w:rPr>
            </w:pPr>
            <w:r>
              <w:rPr>
                <w:rFonts w:hint="eastAsia" w:ascii="宋体" w:hAnsi="宋体"/>
                <w:b/>
                <w:bCs/>
                <w:szCs w:val="21"/>
              </w:rPr>
              <w:t>0</w:t>
            </w:r>
          </w:p>
        </w:tc>
        <w:tc>
          <w:tcPr>
            <w:tcW w:w="2977" w:type="dxa"/>
            <w:vAlign w:val="center"/>
          </w:tcPr>
          <w:p>
            <w:pPr>
              <w:spacing w:line="288" w:lineRule="auto"/>
              <w:jc w:val="center"/>
              <w:rPr>
                <w:rFonts w:ascii="宋体" w:hAnsi="宋体"/>
                <w:b/>
                <w:bCs/>
                <w:szCs w:val="21"/>
              </w:rPr>
            </w:pPr>
            <w:r>
              <w:rPr>
                <w:rFonts w:hint="eastAsia" w:ascii="宋体" w:hAnsi="宋体"/>
                <w:b/>
                <w:bCs/>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207" w:type="dxa"/>
            <w:vAlign w:val="center"/>
          </w:tcPr>
          <w:p>
            <w:pPr>
              <w:spacing w:line="288" w:lineRule="auto"/>
              <w:jc w:val="center"/>
              <w:rPr>
                <w:b/>
              </w:rPr>
            </w:pPr>
            <w:r>
              <w:rPr>
                <w:rFonts w:hint="eastAsia"/>
                <w:b/>
              </w:rPr>
              <w:t>6</w:t>
            </w:r>
          </w:p>
        </w:tc>
        <w:tc>
          <w:tcPr>
            <w:tcW w:w="4997" w:type="dxa"/>
            <w:vAlign w:val="center"/>
          </w:tcPr>
          <w:p>
            <w:pPr>
              <w:spacing w:line="288" w:lineRule="auto"/>
              <w:rPr>
                <w:rFonts w:ascii="宋体" w:hAnsi="宋体"/>
                <w:szCs w:val="21"/>
              </w:rPr>
            </w:pPr>
            <w:r>
              <w:rPr>
                <w:rFonts w:hint="eastAsia" w:ascii="宋体" w:hAnsi="宋体"/>
                <w:szCs w:val="21"/>
              </w:rPr>
              <w:t>第六章 衰老与临终</w:t>
            </w:r>
          </w:p>
        </w:tc>
        <w:tc>
          <w:tcPr>
            <w:tcW w:w="2268" w:type="dxa"/>
            <w:vAlign w:val="center"/>
          </w:tcPr>
          <w:p>
            <w:pPr>
              <w:spacing w:line="288" w:lineRule="auto"/>
              <w:jc w:val="center"/>
              <w:rPr>
                <w:rFonts w:ascii="宋体" w:hAnsi="宋体"/>
                <w:b/>
                <w:bCs/>
                <w:szCs w:val="21"/>
              </w:rPr>
            </w:pPr>
            <w:r>
              <w:rPr>
                <w:rFonts w:hint="eastAsia" w:ascii="宋体" w:hAnsi="宋体"/>
                <w:b/>
                <w:bCs/>
                <w:szCs w:val="21"/>
              </w:rPr>
              <w:t>4</w:t>
            </w:r>
          </w:p>
        </w:tc>
        <w:tc>
          <w:tcPr>
            <w:tcW w:w="2126" w:type="dxa"/>
            <w:vAlign w:val="center"/>
          </w:tcPr>
          <w:p>
            <w:pPr>
              <w:spacing w:line="288" w:lineRule="auto"/>
              <w:jc w:val="center"/>
              <w:rPr>
                <w:rFonts w:ascii="宋体" w:hAnsi="宋体"/>
                <w:b/>
                <w:bCs/>
                <w:szCs w:val="21"/>
              </w:rPr>
            </w:pPr>
            <w:r>
              <w:rPr>
                <w:rFonts w:hint="eastAsia" w:ascii="宋体" w:hAnsi="宋体"/>
                <w:b/>
                <w:bCs/>
                <w:szCs w:val="21"/>
              </w:rPr>
              <w:t>0</w:t>
            </w:r>
          </w:p>
        </w:tc>
        <w:tc>
          <w:tcPr>
            <w:tcW w:w="2977" w:type="dxa"/>
            <w:vAlign w:val="center"/>
          </w:tcPr>
          <w:p>
            <w:pPr>
              <w:spacing w:line="288" w:lineRule="auto"/>
              <w:jc w:val="center"/>
              <w:rPr>
                <w:rFonts w:ascii="宋体" w:hAnsi="宋体"/>
                <w:b/>
                <w:bCs/>
                <w:szCs w:val="21"/>
              </w:rPr>
            </w:pPr>
            <w:r>
              <w:rPr>
                <w:rFonts w:hint="eastAsia" w:ascii="宋体" w:hAnsi="宋体"/>
                <w:b/>
                <w:bCs/>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1207" w:type="dxa"/>
            <w:vAlign w:val="center"/>
          </w:tcPr>
          <w:p>
            <w:pPr>
              <w:spacing w:line="288" w:lineRule="auto"/>
              <w:jc w:val="center"/>
              <w:rPr>
                <w:b/>
              </w:rPr>
            </w:pPr>
            <w:r>
              <w:rPr>
                <w:rFonts w:hint="eastAsia"/>
                <w:b/>
              </w:rPr>
              <w:t>7</w:t>
            </w:r>
          </w:p>
        </w:tc>
        <w:tc>
          <w:tcPr>
            <w:tcW w:w="4997" w:type="dxa"/>
            <w:vAlign w:val="center"/>
          </w:tcPr>
          <w:p>
            <w:pPr>
              <w:spacing w:line="288" w:lineRule="auto"/>
              <w:rPr>
                <w:rFonts w:ascii="宋体" w:hAnsi="宋体"/>
                <w:szCs w:val="21"/>
              </w:rPr>
            </w:pPr>
            <w:r>
              <w:rPr>
                <w:rFonts w:hint="eastAsia" w:ascii="宋体" w:hAnsi="宋体"/>
                <w:szCs w:val="21"/>
              </w:rPr>
              <w:t>第七章 医生的职业</w:t>
            </w:r>
            <w:bookmarkStart w:id="0" w:name="_GoBack"/>
            <w:bookmarkEnd w:id="0"/>
            <w:r>
              <w:rPr>
                <w:rFonts w:hint="eastAsia" w:ascii="宋体" w:hAnsi="宋体"/>
                <w:szCs w:val="21"/>
              </w:rPr>
              <w:t>人格</w:t>
            </w:r>
          </w:p>
        </w:tc>
        <w:tc>
          <w:tcPr>
            <w:tcW w:w="2268" w:type="dxa"/>
            <w:vAlign w:val="center"/>
          </w:tcPr>
          <w:p>
            <w:pPr>
              <w:spacing w:line="288" w:lineRule="auto"/>
              <w:jc w:val="center"/>
              <w:rPr>
                <w:rFonts w:ascii="宋体" w:hAnsi="宋体"/>
                <w:b/>
                <w:bCs/>
                <w:szCs w:val="21"/>
              </w:rPr>
            </w:pPr>
            <w:r>
              <w:rPr>
                <w:rFonts w:hint="eastAsia" w:ascii="宋体" w:hAnsi="宋体"/>
                <w:b/>
                <w:bCs/>
                <w:szCs w:val="21"/>
              </w:rPr>
              <w:t>4</w:t>
            </w:r>
          </w:p>
        </w:tc>
        <w:tc>
          <w:tcPr>
            <w:tcW w:w="2126" w:type="dxa"/>
            <w:vAlign w:val="center"/>
          </w:tcPr>
          <w:p>
            <w:pPr>
              <w:spacing w:line="288" w:lineRule="auto"/>
              <w:jc w:val="center"/>
              <w:rPr>
                <w:rFonts w:ascii="宋体" w:hAnsi="宋体"/>
                <w:b/>
                <w:bCs/>
                <w:szCs w:val="21"/>
              </w:rPr>
            </w:pPr>
            <w:r>
              <w:rPr>
                <w:rFonts w:hint="eastAsia" w:ascii="宋体" w:hAnsi="宋体"/>
                <w:b/>
                <w:bCs/>
                <w:szCs w:val="21"/>
              </w:rPr>
              <w:t>0</w:t>
            </w:r>
          </w:p>
        </w:tc>
        <w:tc>
          <w:tcPr>
            <w:tcW w:w="2977" w:type="dxa"/>
            <w:vAlign w:val="center"/>
          </w:tcPr>
          <w:p>
            <w:pPr>
              <w:spacing w:line="288" w:lineRule="auto"/>
              <w:jc w:val="center"/>
              <w:rPr>
                <w:rFonts w:ascii="宋体" w:hAnsi="宋体"/>
                <w:b/>
                <w:bCs/>
                <w:szCs w:val="21"/>
              </w:rPr>
            </w:pPr>
            <w:r>
              <w:rPr>
                <w:rFonts w:hint="eastAsia" w:ascii="宋体" w:hAnsi="宋体"/>
                <w:b/>
                <w:bCs/>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207" w:type="dxa"/>
            <w:vAlign w:val="center"/>
          </w:tcPr>
          <w:p>
            <w:pPr>
              <w:spacing w:line="288" w:lineRule="auto"/>
              <w:jc w:val="center"/>
              <w:rPr>
                <w:b/>
              </w:rPr>
            </w:pPr>
            <w:r>
              <w:rPr>
                <w:rFonts w:hint="eastAsia"/>
                <w:b/>
              </w:rPr>
              <w:t>8</w:t>
            </w:r>
          </w:p>
        </w:tc>
        <w:tc>
          <w:tcPr>
            <w:tcW w:w="4997" w:type="dxa"/>
            <w:vAlign w:val="center"/>
          </w:tcPr>
          <w:p>
            <w:pPr>
              <w:spacing w:line="288" w:lineRule="auto"/>
              <w:rPr>
                <w:rFonts w:ascii="宋体" w:hAnsi="宋体"/>
                <w:szCs w:val="21"/>
              </w:rPr>
            </w:pPr>
            <w:r>
              <w:rPr>
                <w:rFonts w:hint="eastAsia" w:ascii="宋体" w:hAnsi="宋体"/>
                <w:szCs w:val="21"/>
              </w:rPr>
              <w:t>第八章 医学研究的伦理</w:t>
            </w:r>
          </w:p>
        </w:tc>
        <w:tc>
          <w:tcPr>
            <w:tcW w:w="2268" w:type="dxa"/>
            <w:vAlign w:val="center"/>
          </w:tcPr>
          <w:p>
            <w:pPr>
              <w:spacing w:line="288" w:lineRule="auto"/>
              <w:jc w:val="center"/>
              <w:rPr>
                <w:rFonts w:ascii="宋体" w:hAnsi="宋体"/>
                <w:b/>
                <w:bCs/>
                <w:szCs w:val="21"/>
              </w:rPr>
            </w:pPr>
            <w:r>
              <w:rPr>
                <w:rFonts w:hint="eastAsia" w:ascii="宋体" w:hAnsi="宋体"/>
                <w:b/>
                <w:bCs/>
                <w:szCs w:val="21"/>
              </w:rPr>
              <w:t>4</w:t>
            </w:r>
          </w:p>
        </w:tc>
        <w:tc>
          <w:tcPr>
            <w:tcW w:w="2126" w:type="dxa"/>
            <w:vAlign w:val="center"/>
          </w:tcPr>
          <w:p>
            <w:pPr>
              <w:spacing w:line="288" w:lineRule="auto"/>
              <w:jc w:val="center"/>
              <w:rPr>
                <w:rFonts w:ascii="宋体" w:hAnsi="宋体"/>
                <w:b/>
                <w:bCs/>
                <w:szCs w:val="21"/>
              </w:rPr>
            </w:pPr>
            <w:r>
              <w:rPr>
                <w:rFonts w:hint="eastAsia" w:ascii="宋体" w:hAnsi="宋体"/>
                <w:b/>
                <w:bCs/>
                <w:szCs w:val="21"/>
              </w:rPr>
              <w:t>0</w:t>
            </w:r>
          </w:p>
        </w:tc>
        <w:tc>
          <w:tcPr>
            <w:tcW w:w="2977" w:type="dxa"/>
            <w:vAlign w:val="center"/>
          </w:tcPr>
          <w:p>
            <w:pPr>
              <w:spacing w:line="288" w:lineRule="auto"/>
              <w:jc w:val="center"/>
              <w:rPr>
                <w:rFonts w:ascii="宋体" w:hAnsi="宋体"/>
                <w:b/>
                <w:bCs/>
                <w:szCs w:val="21"/>
              </w:rPr>
            </w:pPr>
            <w:r>
              <w:rPr>
                <w:rFonts w:hint="eastAsia" w:ascii="宋体" w:hAnsi="宋体"/>
                <w:b/>
                <w:bCs/>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207" w:type="dxa"/>
            <w:vAlign w:val="center"/>
          </w:tcPr>
          <w:p>
            <w:pPr>
              <w:spacing w:line="288" w:lineRule="auto"/>
              <w:jc w:val="center"/>
              <w:rPr>
                <w:b/>
              </w:rPr>
            </w:pPr>
            <w:r>
              <w:rPr>
                <w:rFonts w:hint="eastAsia"/>
                <w:b/>
              </w:rPr>
              <w:t>总学时</w:t>
            </w:r>
          </w:p>
        </w:tc>
        <w:tc>
          <w:tcPr>
            <w:tcW w:w="4997" w:type="dxa"/>
          </w:tcPr>
          <w:p>
            <w:pPr>
              <w:spacing w:line="288" w:lineRule="auto"/>
              <w:rPr>
                <w:rFonts w:ascii="宋体" w:hAnsi="宋体"/>
                <w:szCs w:val="21"/>
              </w:rPr>
            </w:pPr>
          </w:p>
        </w:tc>
        <w:tc>
          <w:tcPr>
            <w:tcW w:w="2268" w:type="dxa"/>
            <w:vAlign w:val="center"/>
          </w:tcPr>
          <w:p>
            <w:pPr>
              <w:spacing w:line="288" w:lineRule="auto"/>
              <w:jc w:val="center"/>
              <w:rPr>
                <w:rFonts w:ascii="宋体" w:hAnsi="宋体"/>
                <w:b/>
                <w:bCs/>
                <w:szCs w:val="21"/>
              </w:rPr>
            </w:pPr>
            <w:r>
              <w:rPr>
                <w:rFonts w:hint="eastAsia" w:ascii="宋体" w:hAnsi="宋体"/>
                <w:b/>
                <w:bCs/>
                <w:szCs w:val="21"/>
              </w:rPr>
              <w:t>32</w:t>
            </w:r>
          </w:p>
        </w:tc>
        <w:tc>
          <w:tcPr>
            <w:tcW w:w="2126" w:type="dxa"/>
            <w:vAlign w:val="center"/>
          </w:tcPr>
          <w:p>
            <w:pPr>
              <w:spacing w:line="288" w:lineRule="auto"/>
              <w:jc w:val="center"/>
              <w:rPr>
                <w:rFonts w:ascii="宋体" w:hAnsi="宋体"/>
                <w:b/>
                <w:bCs/>
                <w:szCs w:val="21"/>
              </w:rPr>
            </w:pPr>
            <w:r>
              <w:rPr>
                <w:rFonts w:hint="eastAsia" w:ascii="宋体" w:hAnsi="宋体"/>
                <w:b/>
                <w:bCs/>
                <w:szCs w:val="21"/>
              </w:rPr>
              <w:t>0</w:t>
            </w:r>
          </w:p>
        </w:tc>
        <w:tc>
          <w:tcPr>
            <w:tcW w:w="2977" w:type="dxa"/>
            <w:vAlign w:val="center"/>
          </w:tcPr>
          <w:p>
            <w:pPr>
              <w:spacing w:line="288" w:lineRule="auto"/>
              <w:jc w:val="center"/>
              <w:rPr>
                <w:rFonts w:ascii="宋体" w:hAnsi="宋体"/>
                <w:b/>
                <w:bCs/>
                <w:szCs w:val="21"/>
              </w:rPr>
            </w:pPr>
            <w:r>
              <w:rPr>
                <w:rFonts w:hint="eastAsia" w:ascii="宋体" w:hAnsi="宋体"/>
                <w:b/>
                <w:bCs/>
                <w:szCs w:val="21"/>
              </w:rPr>
              <w:t>0</w:t>
            </w:r>
          </w:p>
        </w:tc>
      </w:tr>
    </w:tbl>
    <w:p>
      <w:pPr>
        <w:spacing w:line="288" w:lineRule="auto"/>
      </w:pPr>
    </w:p>
    <w:p>
      <w:pPr>
        <w:spacing w:line="288" w:lineRule="auto"/>
      </w:pPr>
    </w:p>
    <w:p>
      <w:pPr>
        <w:spacing w:line="288" w:lineRule="auto"/>
      </w:pPr>
    </w:p>
    <w:sectPr>
      <w:headerReference r:id="rId8" w:type="first"/>
      <w:footerReference r:id="rId11" w:type="first"/>
      <w:headerReference r:id="rId6" w:type="default"/>
      <w:footerReference r:id="rId9" w:type="default"/>
      <w:headerReference r:id="rId7" w:type="even"/>
      <w:footerReference r:id="rId10" w:type="even"/>
      <w:pgSz w:w="16838" w:h="11906" w:orient="landscape"/>
      <w:pgMar w:top="1797" w:right="1440" w:bottom="1797" w:left="1440" w:header="851" w:footer="992" w:gutter="0"/>
      <w:cols w:space="425" w:num="1"/>
      <w:docGrid w:linePitch="333" w:charSpace="-43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1</w:t>
    </w:r>
    <w:r>
      <w:rPr>
        <w:rStyle w:val="11"/>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 PAGE   \* MERGEFORMAT </w:instrText>
    </w:r>
    <w:r>
      <w:fldChar w:fldCharType="separate"/>
    </w:r>
    <w:r>
      <w:t>4</w:t>
    </w:r>
    <w:r>
      <w:fldChar w:fldCharType="end"/>
    </w:r>
  </w:p>
  <w:p>
    <w:pPr>
      <w:pStyle w:val="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036E01"/>
    <w:multiLevelType w:val="multilevel"/>
    <w:tmpl w:val="5E036E01"/>
    <w:lvl w:ilvl="0" w:tentative="0">
      <w:start w:val="1"/>
      <w:numFmt w:val="decimal"/>
      <w:lvlText w:val="%1."/>
      <w:lvlJc w:val="left"/>
      <w:pPr>
        <w:tabs>
          <w:tab w:val="left" w:pos="720"/>
        </w:tabs>
        <w:ind w:left="720" w:hanging="360"/>
      </w:pPr>
      <w:rPr>
        <w:rFonts w:hint="default"/>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I3NDg1OTU2NGY5OGViN2I1ZTFhNTdhNzUxYWZmMDQifQ=="/>
  </w:docVars>
  <w:rsids>
    <w:rsidRoot w:val="00087859"/>
    <w:rsid w:val="00002491"/>
    <w:rsid w:val="00014877"/>
    <w:rsid w:val="00037CF9"/>
    <w:rsid w:val="0004344D"/>
    <w:rsid w:val="00061450"/>
    <w:rsid w:val="000646B7"/>
    <w:rsid w:val="000657C0"/>
    <w:rsid w:val="0007171E"/>
    <w:rsid w:val="000877E6"/>
    <w:rsid w:val="00087859"/>
    <w:rsid w:val="00090EC0"/>
    <w:rsid w:val="00095A99"/>
    <w:rsid w:val="00096A6B"/>
    <w:rsid w:val="000B45D8"/>
    <w:rsid w:val="000C3614"/>
    <w:rsid w:val="000C3CD3"/>
    <w:rsid w:val="00117BE9"/>
    <w:rsid w:val="00126938"/>
    <w:rsid w:val="0015134F"/>
    <w:rsid w:val="00156AF2"/>
    <w:rsid w:val="00156B47"/>
    <w:rsid w:val="00157D89"/>
    <w:rsid w:val="00165DC1"/>
    <w:rsid w:val="00167D41"/>
    <w:rsid w:val="00174A84"/>
    <w:rsid w:val="00193ECB"/>
    <w:rsid w:val="001955A8"/>
    <w:rsid w:val="001B1ED6"/>
    <w:rsid w:val="001D5871"/>
    <w:rsid w:val="001E7F10"/>
    <w:rsid w:val="00213AAE"/>
    <w:rsid w:val="00217755"/>
    <w:rsid w:val="00217C72"/>
    <w:rsid w:val="00237AD9"/>
    <w:rsid w:val="00242C7E"/>
    <w:rsid w:val="002516E9"/>
    <w:rsid w:val="00254FBC"/>
    <w:rsid w:val="00260860"/>
    <w:rsid w:val="002642F0"/>
    <w:rsid w:val="00265893"/>
    <w:rsid w:val="00265EA5"/>
    <w:rsid w:val="00267903"/>
    <w:rsid w:val="0028506C"/>
    <w:rsid w:val="0029259C"/>
    <w:rsid w:val="002C4AA6"/>
    <w:rsid w:val="002D6C0A"/>
    <w:rsid w:val="002F0F76"/>
    <w:rsid w:val="00325281"/>
    <w:rsid w:val="00332375"/>
    <w:rsid w:val="00332F98"/>
    <w:rsid w:val="003431FF"/>
    <w:rsid w:val="0034479E"/>
    <w:rsid w:val="00355E6C"/>
    <w:rsid w:val="00363442"/>
    <w:rsid w:val="0036513C"/>
    <w:rsid w:val="00375288"/>
    <w:rsid w:val="003870E9"/>
    <w:rsid w:val="00396D57"/>
    <w:rsid w:val="003A07B5"/>
    <w:rsid w:val="003A4128"/>
    <w:rsid w:val="003B7967"/>
    <w:rsid w:val="003E1020"/>
    <w:rsid w:val="003E18D0"/>
    <w:rsid w:val="003E33F7"/>
    <w:rsid w:val="003E64C5"/>
    <w:rsid w:val="003E77AE"/>
    <w:rsid w:val="00425233"/>
    <w:rsid w:val="00435392"/>
    <w:rsid w:val="00436E23"/>
    <w:rsid w:val="00440ECB"/>
    <w:rsid w:val="00441289"/>
    <w:rsid w:val="004476F7"/>
    <w:rsid w:val="0046329B"/>
    <w:rsid w:val="00464417"/>
    <w:rsid w:val="00473B54"/>
    <w:rsid w:val="004747EF"/>
    <w:rsid w:val="00477BA7"/>
    <w:rsid w:val="004914F6"/>
    <w:rsid w:val="00491FC1"/>
    <w:rsid w:val="004A4117"/>
    <w:rsid w:val="004B3079"/>
    <w:rsid w:val="004B58E4"/>
    <w:rsid w:val="004C5F64"/>
    <w:rsid w:val="004C6746"/>
    <w:rsid w:val="004E1B24"/>
    <w:rsid w:val="004F5490"/>
    <w:rsid w:val="004F75D3"/>
    <w:rsid w:val="00520DB7"/>
    <w:rsid w:val="0053030E"/>
    <w:rsid w:val="005438AF"/>
    <w:rsid w:val="005821D0"/>
    <w:rsid w:val="00584D33"/>
    <w:rsid w:val="0058632D"/>
    <w:rsid w:val="0059603A"/>
    <w:rsid w:val="005A0DF2"/>
    <w:rsid w:val="005A71EE"/>
    <w:rsid w:val="005A75BE"/>
    <w:rsid w:val="005C3F48"/>
    <w:rsid w:val="005D05AE"/>
    <w:rsid w:val="005D34C1"/>
    <w:rsid w:val="005E0383"/>
    <w:rsid w:val="005E13CF"/>
    <w:rsid w:val="005F13DA"/>
    <w:rsid w:val="005F156C"/>
    <w:rsid w:val="005F4F91"/>
    <w:rsid w:val="006060DE"/>
    <w:rsid w:val="00610127"/>
    <w:rsid w:val="00611159"/>
    <w:rsid w:val="00612ABF"/>
    <w:rsid w:val="006131A1"/>
    <w:rsid w:val="0061482B"/>
    <w:rsid w:val="00623AB3"/>
    <w:rsid w:val="0062572C"/>
    <w:rsid w:val="00626AB4"/>
    <w:rsid w:val="00640461"/>
    <w:rsid w:val="00645C82"/>
    <w:rsid w:val="006520FF"/>
    <w:rsid w:val="006576CC"/>
    <w:rsid w:val="00663208"/>
    <w:rsid w:val="006670AA"/>
    <w:rsid w:val="00693C92"/>
    <w:rsid w:val="0069526C"/>
    <w:rsid w:val="006A4BD9"/>
    <w:rsid w:val="006B103F"/>
    <w:rsid w:val="006B47BA"/>
    <w:rsid w:val="006B5CC0"/>
    <w:rsid w:val="006C668F"/>
    <w:rsid w:val="006D6122"/>
    <w:rsid w:val="006F34A6"/>
    <w:rsid w:val="006F37CC"/>
    <w:rsid w:val="00726009"/>
    <w:rsid w:val="00731E06"/>
    <w:rsid w:val="007676B5"/>
    <w:rsid w:val="00767E8C"/>
    <w:rsid w:val="00784F8C"/>
    <w:rsid w:val="007906A2"/>
    <w:rsid w:val="00794933"/>
    <w:rsid w:val="007B2294"/>
    <w:rsid w:val="007C07FC"/>
    <w:rsid w:val="007C7D5D"/>
    <w:rsid w:val="007D371C"/>
    <w:rsid w:val="007E0062"/>
    <w:rsid w:val="007E70F1"/>
    <w:rsid w:val="007F0B78"/>
    <w:rsid w:val="007F28DF"/>
    <w:rsid w:val="007F7283"/>
    <w:rsid w:val="00801825"/>
    <w:rsid w:val="00805E6B"/>
    <w:rsid w:val="00806A6A"/>
    <w:rsid w:val="00826DEA"/>
    <w:rsid w:val="008413B9"/>
    <w:rsid w:val="00843C85"/>
    <w:rsid w:val="00856629"/>
    <w:rsid w:val="008567AA"/>
    <w:rsid w:val="00863FEA"/>
    <w:rsid w:val="0087318B"/>
    <w:rsid w:val="00885695"/>
    <w:rsid w:val="008B1E83"/>
    <w:rsid w:val="008B6A2A"/>
    <w:rsid w:val="008F4949"/>
    <w:rsid w:val="008F7E39"/>
    <w:rsid w:val="00900ADB"/>
    <w:rsid w:val="0090297B"/>
    <w:rsid w:val="00912FA7"/>
    <w:rsid w:val="00933367"/>
    <w:rsid w:val="00933452"/>
    <w:rsid w:val="009369CB"/>
    <w:rsid w:val="00936C8E"/>
    <w:rsid w:val="00937DB7"/>
    <w:rsid w:val="00940325"/>
    <w:rsid w:val="00965637"/>
    <w:rsid w:val="009764D4"/>
    <w:rsid w:val="009864DC"/>
    <w:rsid w:val="009867EF"/>
    <w:rsid w:val="009B1D38"/>
    <w:rsid w:val="009B58C2"/>
    <w:rsid w:val="009C0F11"/>
    <w:rsid w:val="009C5C0B"/>
    <w:rsid w:val="009D18EC"/>
    <w:rsid w:val="009F3F44"/>
    <w:rsid w:val="00A0102E"/>
    <w:rsid w:val="00A01E5C"/>
    <w:rsid w:val="00A04AFF"/>
    <w:rsid w:val="00A16917"/>
    <w:rsid w:val="00A4705D"/>
    <w:rsid w:val="00A57748"/>
    <w:rsid w:val="00A60D78"/>
    <w:rsid w:val="00A60EEC"/>
    <w:rsid w:val="00A62480"/>
    <w:rsid w:val="00A65E70"/>
    <w:rsid w:val="00A76D4A"/>
    <w:rsid w:val="00A850DE"/>
    <w:rsid w:val="00AB15A7"/>
    <w:rsid w:val="00AB7726"/>
    <w:rsid w:val="00AC729C"/>
    <w:rsid w:val="00AD381D"/>
    <w:rsid w:val="00AD51C3"/>
    <w:rsid w:val="00AF6827"/>
    <w:rsid w:val="00B101BA"/>
    <w:rsid w:val="00B11D4A"/>
    <w:rsid w:val="00B6294A"/>
    <w:rsid w:val="00B84B6C"/>
    <w:rsid w:val="00B90719"/>
    <w:rsid w:val="00B963D3"/>
    <w:rsid w:val="00B9762C"/>
    <w:rsid w:val="00B97A9F"/>
    <w:rsid w:val="00BC08AD"/>
    <w:rsid w:val="00BF0EC4"/>
    <w:rsid w:val="00BF1017"/>
    <w:rsid w:val="00BF38E3"/>
    <w:rsid w:val="00BF45A0"/>
    <w:rsid w:val="00C0082B"/>
    <w:rsid w:val="00C0268B"/>
    <w:rsid w:val="00C1121A"/>
    <w:rsid w:val="00C151B0"/>
    <w:rsid w:val="00C221A1"/>
    <w:rsid w:val="00C2480C"/>
    <w:rsid w:val="00C310F3"/>
    <w:rsid w:val="00C74C38"/>
    <w:rsid w:val="00C7525B"/>
    <w:rsid w:val="00C86EA6"/>
    <w:rsid w:val="00C97C68"/>
    <w:rsid w:val="00CA2651"/>
    <w:rsid w:val="00CF6544"/>
    <w:rsid w:val="00CF6FCB"/>
    <w:rsid w:val="00D06854"/>
    <w:rsid w:val="00D32E55"/>
    <w:rsid w:val="00D40841"/>
    <w:rsid w:val="00D51249"/>
    <w:rsid w:val="00D52D35"/>
    <w:rsid w:val="00D5635B"/>
    <w:rsid w:val="00D56F6E"/>
    <w:rsid w:val="00D62903"/>
    <w:rsid w:val="00D8642E"/>
    <w:rsid w:val="00D87AC0"/>
    <w:rsid w:val="00D9138B"/>
    <w:rsid w:val="00DA0465"/>
    <w:rsid w:val="00DA1005"/>
    <w:rsid w:val="00DA2A87"/>
    <w:rsid w:val="00DB388F"/>
    <w:rsid w:val="00DC23C1"/>
    <w:rsid w:val="00DC7AF1"/>
    <w:rsid w:val="00DD6789"/>
    <w:rsid w:val="00DE4BFF"/>
    <w:rsid w:val="00E00CF7"/>
    <w:rsid w:val="00E05F65"/>
    <w:rsid w:val="00E10DF6"/>
    <w:rsid w:val="00E216A6"/>
    <w:rsid w:val="00E27D68"/>
    <w:rsid w:val="00E35589"/>
    <w:rsid w:val="00E42132"/>
    <w:rsid w:val="00E464B0"/>
    <w:rsid w:val="00E52FB6"/>
    <w:rsid w:val="00E77544"/>
    <w:rsid w:val="00E83259"/>
    <w:rsid w:val="00E87158"/>
    <w:rsid w:val="00EA34FE"/>
    <w:rsid w:val="00EA7A18"/>
    <w:rsid w:val="00EB43FC"/>
    <w:rsid w:val="00EB53A3"/>
    <w:rsid w:val="00EC507F"/>
    <w:rsid w:val="00EE237F"/>
    <w:rsid w:val="00EE26D2"/>
    <w:rsid w:val="00F10622"/>
    <w:rsid w:val="00F23393"/>
    <w:rsid w:val="00F37F25"/>
    <w:rsid w:val="00F55099"/>
    <w:rsid w:val="00F74587"/>
    <w:rsid w:val="00F7795B"/>
    <w:rsid w:val="00F82403"/>
    <w:rsid w:val="00F91EEE"/>
    <w:rsid w:val="00FA1B0D"/>
    <w:rsid w:val="00FA5348"/>
    <w:rsid w:val="00FE35CF"/>
    <w:rsid w:val="00FE7F3C"/>
    <w:rsid w:val="0D5946AA"/>
    <w:rsid w:val="2956375B"/>
    <w:rsid w:val="37AD6358"/>
    <w:rsid w:val="39323B8F"/>
    <w:rsid w:val="39ED2DA2"/>
    <w:rsid w:val="3C215414"/>
    <w:rsid w:val="65AD01C5"/>
    <w:rsid w:val="76EA2E75"/>
    <w:rsid w:val="7DF2225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ind w:firstLine="456" w:firstLineChars="200"/>
    </w:pPr>
    <w:rPr>
      <w:rFonts w:ascii="宋体" w:hAnsi="宋体"/>
    </w:rPr>
  </w:style>
  <w:style w:type="paragraph" w:styleId="3">
    <w:name w:val="Plain Text"/>
    <w:basedOn w:val="1"/>
    <w:link w:val="14"/>
    <w:autoRedefine/>
    <w:qFormat/>
    <w:uiPriority w:val="0"/>
    <w:rPr>
      <w:rFonts w:ascii="宋体" w:hAnsi="Courier New"/>
      <w:szCs w:val="20"/>
    </w:rPr>
  </w:style>
  <w:style w:type="paragraph" w:styleId="4">
    <w:name w:val="Date"/>
    <w:basedOn w:val="1"/>
    <w:next w:val="1"/>
    <w:autoRedefine/>
    <w:qFormat/>
    <w:uiPriority w:val="0"/>
    <w:pPr>
      <w:ind w:left="100" w:leftChars="2500"/>
    </w:pPr>
  </w:style>
  <w:style w:type="paragraph" w:styleId="5">
    <w:name w:val="Balloon Text"/>
    <w:basedOn w:val="1"/>
    <w:link w:val="19"/>
    <w:autoRedefine/>
    <w:qFormat/>
    <w:uiPriority w:val="0"/>
    <w:rPr>
      <w:sz w:val="18"/>
      <w:szCs w:val="18"/>
    </w:rPr>
  </w:style>
  <w:style w:type="paragraph" w:styleId="6">
    <w:name w:val="footer"/>
    <w:basedOn w:val="1"/>
    <w:link w:val="17"/>
    <w:autoRedefine/>
    <w:qFormat/>
    <w:uiPriority w:val="99"/>
    <w:pPr>
      <w:tabs>
        <w:tab w:val="center" w:pos="4153"/>
        <w:tab w:val="right" w:pos="8306"/>
      </w:tabs>
      <w:snapToGrid w:val="0"/>
      <w:jc w:val="left"/>
    </w:pPr>
    <w:rPr>
      <w:sz w:val="18"/>
      <w:szCs w:val="18"/>
      <w:lang w:val="zh-CN"/>
    </w:rPr>
  </w:style>
  <w:style w:type="paragraph" w:styleId="7">
    <w:name w:val="header"/>
    <w:basedOn w:val="1"/>
    <w:link w:val="13"/>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jc w:val="left"/>
    </w:pPr>
    <w:rPr>
      <w:rFonts w:ascii="宋体" w:hAnsi="宋体" w:cs="宋体"/>
      <w:kern w:val="0"/>
      <w:sz w:val="24"/>
    </w:rPr>
  </w:style>
  <w:style w:type="character" w:styleId="11">
    <w:name w:val="page number"/>
    <w:basedOn w:val="10"/>
    <w:autoRedefine/>
    <w:qFormat/>
    <w:uiPriority w:val="0"/>
  </w:style>
  <w:style w:type="character" w:styleId="12">
    <w:name w:val="Emphasis"/>
    <w:basedOn w:val="10"/>
    <w:autoRedefine/>
    <w:qFormat/>
    <w:uiPriority w:val="20"/>
    <w:rPr>
      <w:i/>
      <w:iCs/>
    </w:rPr>
  </w:style>
  <w:style w:type="character" w:customStyle="1" w:styleId="13">
    <w:name w:val="页眉 Char"/>
    <w:link w:val="7"/>
    <w:autoRedefine/>
    <w:qFormat/>
    <w:uiPriority w:val="0"/>
    <w:rPr>
      <w:rFonts w:eastAsia="宋体"/>
      <w:kern w:val="2"/>
      <w:sz w:val="18"/>
      <w:szCs w:val="18"/>
      <w:lang w:val="en-US" w:eastAsia="zh-CN" w:bidi="ar-SA"/>
    </w:rPr>
  </w:style>
  <w:style w:type="character" w:customStyle="1" w:styleId="14">
    <w:name w:val="纯文本 Char"/>
    <w:link w:val="3"/>
    <w:autoRedefine/>
    <w:qFormat/>
    <w:uiPriority w:val="0"/>
    <w:rPr>
      <w:rFonts w:ascii="宋体" w:hAnsi="Courier New" w:eastAsia="宋体"/>
      <w:kern w:val="2"/>
      <w:sz w:val="21"/>
      <w:lang w:val="en-US" w:eastAsia="zh-CN" w:bidi="ar-SA"/>
    </w:rPr>
  </w:style>
  <w:style w:type="paragraph" w:customStyle="1" w:styleId="15">
    <w:name w:val="ordinary-output target-output"/>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16">
    <w:name w:val="high-light-bg4"/>
    <w:basedOn w:val="10"/>
    <w:autoRedefine/>
    <w:qFormat/>
    <w:uiPriority w:val="0"/>
  </w:style>
  <w:style w:type="character" w:customStyle="1" w:styleId="17">
    <w:name w:val="页脚 Char"/>
    <w:link w:val="6"/>
    <w:autoRedefine/>
    <w:qFormat/>
    <w:uiPriority w:val="99"/>
    <w:rPr>
      <w:kern w:val="2"/>
      <w:sz w:val="18"/>
      <w:szCs w:val="18"/>
    </w:rPr>
  </w:style>
  <w:style w:type="paragraph" w:styleId="18">
    <w:name w:val="List Paragraph"/>
    <w:basedOn w:val="1"/>
    <w:autoRedefine/>
    <w:qFormat/>
    <w:uiPriority w:val="34"/>
    <w:pPr>
      <w:widowControl/>
      <w:ind w:firstLine="420" w:firstLineChars="200"/>
      <w:jc w:val="left"/>
    </w:pPr>
    <w:rPr>
      <w:rFonts w:ascii="宋体" w:hAnsi="宋体" w:cs="宋体"/>
      <w:kern w:val="0"/>
      <w:sz w:val="24"/>
    </w:rPr>
  </w:style>
  <w:style w:type="character" w:customStyle="1" w:styleId="19">
    <w:name w:val="批注框文本 Char"/>
    <w:basedOn w:val="10"/>
    <w:link w:val="5"/>
    <w:autoRedefine/>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天津医科大学</Company>
  <Pages>5</Pages>
  <Words>289</Words>
  <Characters>1653</Characters>
  <Lines>13</Lines>
  <Paragraphs>3</Paragraphs>
  <TotalTime>5</TotalTime>
  <ScaleCrop>false</ScaleCrop>
  <LinksUpToDate>false</LinksUpToDate>
  <CharactersWithSpaces>1939</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2023-12-11T04:05:00Z</dcterms:created>
  <dc:creator>王秋生</dc:creator>
  <cp:lastModifiedBy>栖园</cp:lastModifiedBy>
  <cp:lastPrinted>2013-10-08T03:34:00Z</cp:lastPrinted>
  <dcterms:modified xsi:type="dcterms:W3CDTF">2024-04-11T08:07:20Z</dcterms:modified>
  <dc:title>关于修订教学大纲、见、实习大纲文字格式要求</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795B982F69204D579F85889B725953BA_12</vt:lpwstr>
  </property>
</Properties>
</file>